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21.png" ContentType="image/png"/>
  <Override PartName="/word/media/rId416.png" ContentType="image/png"/>
  <Override PartName="/word/media/rId424.png" ContentType="image/png"/>
  <Override PartName="/word/media/rId469.png" ContentType="image/png"/>
  <Override PartName="/word/media/rId471.png" ContentType="image/png"/>
  <Override PartName="/word/media/rId506.png" ContentType="image/png"/>
  <Override PartName="/word/media/rId508.png" ContentType="image/png"/>
  <Override PartName="/word/media/rId517.png" ContentType="image/png"/>
  <Override PartName="/word/media/rId519.png" ContentType="image/png"/>
  <Override PartName="/word/media/rId522.png" ContentType="image/png"/>
  <Override PartName="/word/media/rId520.png" ContentType="image/png"/>
  <Override PartName="/word/media/rId524.png" ContentType="image/png"/>
  <Override PartName="/word/media/rId525.png" ContentType="image/png"/>
  <Override PartName="/word/media/rId5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8"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3"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2"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End w:id="423"/>
    <w:bookmarkStart w:id="426"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5">
        <w:r>
          <w:rPr>
            <w:rStyle w:val="Hyperlink"/>
          </w:rPr>
          <w:t xml:space="preserve">scRNA-tools website</w:t>
        </w:r>
      </w:hyperlink>
      <w:r>
        <w:t xml:space="preserve">.</w:t>
      </w:r>
    </w:p>
    <w:bookmarkEnd w:id="426"/>
    <w:bookmarkStart w:id="432"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3"/>
        </w:numPr>
        <w:pStyle w:val="Compact"/>
      </w:pPr>
      <w:hyperlink r:id="rId427">
        <w:r>
          <w:rPr>
            <w:rStyle w:val="Hyperlink"/>
          </w:rPr>
          <w:t xml:space="preserve">STAR</w:t>
        </w:r>
      </w:hyperlink>
      <w:r>
        <w:t xml:space="preserve">:</w:t>
      </w:r>
    </w:p>
    <w:p>
      <w:pPr>
        <w:numPr>
          <w:ilvl w:val="1"/>
          <w:numId w:val="1054"/>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4"/>
        </w:numPr>
        <w:pStyle w:val="Compact"/>
      </w:pPr>
      <w:r>
        <w:rPr>
          <w:bCs/>
          <w:b/>
        </w:rPr>
        <w:t xml:space="preserve">Cons</w:t>
      </w:r>
      <w:r>
        <w:t xml:space="preserve">: Requires a significant amount of memory and computational resources. May be difficult to set up and run for beginners.</w:t>
      </w:r>
    </w:p>
    <w:p>
      <w:pPr>
        <w:numPr>
          <w:ilvl w:val="0"/>
          <w:numId w:val="1053"/>
        </w:numPr>
        <w:pStyle w:val="Compact"/>
      </w:pPr>
      <w:hyperlink r:id="rId428">
        <w:r>
          <w:rPr>
            <w:rStyle w:val="Hyperlink"/>
          </w:rPr>
          <w:t xml:space="preserve">HISAT2</w:t>
        </w:r>
      </w:hyperlink>
      <w:r>
        <w:t xml:space="preserve">:</w:t>
      </w:r>
    </w:p>
    <w:p>
      <w:pPr>
        <w:numPr>
          <w:ilvl w:val="1"/>
          <w:numId w:val="1055"/>
        </w:numPr>
        <w:pStyle w:val="Compact"/>
      </w:pPr>
      <w:r>
        <w:rPr>
          <w:bCs/>
          <w:b/>
        </w:rPr>
        <w:t xml:space="preserve">Pros</w:t>
      </w:r>
      <w:r>
        <w:t xml:space="preserve">: Accurate alignment of RNA-seq reads to the genome. Provides transcript-level expression values. Supports splice-aware alignment.</w:t>
      </w:r>
    </w:p>
    <w:p>
      <w:pPr>
        <w:numPr>
          <w:ilvl w:val="1"/>
          <w:numId w:val="1055"/>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6"/>
        </w:numPr>
        <w:pStyle w:val="Compact"/>
      </w:pPr>
      <w:hyperlink r:id="rId427">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57"/>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7"/>
        </w:numPr>
        <w:pStyle w:val="Compact"/>
      </w:pPr>
      <w:r>
        <w:rPr>
          <w:bCs/>
          <w:b/>
        </w:rPr>
        <w:t xml:space="preserve">Cons</w:t>
      </w:r>
      <w:r>
        <w:t xml:space="preserve">: Requires a significant amount of memory and computational resources. May be difficult to set up and run for beginners.</w:t>
      </w:r>
    </w:p>
    <w:p>
      <w:pPr>
        <w:numPr>
          <w:ilvl w:val="0"/>
          <w:numId w:val="1056"/>
        </w:numPr>
        <w:pStyle w:val="Compact"/>
      </w:pPr>
      <w:hyperlink r:id="rId428">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58"/>
        </w:numPr>
        <w:pStyle w:val="Compact"/>
      </w:pPr>
      <w:r>
        <w:rPr>
          <w:bCs/>
          <w:b/>
        </w:rPr>
        <w:t xml:space="preserve">Pros</w:t>
      </w:r>
      <w:r>
        <w:t xml:space="preserve">: Accurate alignment of RNA-seq reads to the genome. Provides transcript-level expression values. Supports splice-aware alignment.</w:t>
      </w:r>
    </w:p>
    <w:p>
      <w:pPr>
        <w:numPr>
          <w:ilvl w:val="1"/>
          <w:numId w:val="1058"/>
        </w:numPr>
        <w:pStyle w:val="Compact"/>
      </w:pPr>
      <w:r>
        <w:rPr>
          <w:bCs/>
          <w:b/>
        </w:rPr>
        <w:t xml:space="preserve">Cons</w:t>
      </w:r>
      <w:r>
        <w:t xml:space="preserve">: May require significant computational resources for large datasets. May not be as accurate as some other alignment tools.</w:t>
      </w:r>
    </w:p>
    <w:p>
      <w:pPr>
        <w:numPr>
          <w:ilvl w:val="0"/>
          <w:numId w:val="1056"/>
        </w:numPr>
        <w:pStyle w:val="Compact"/>
      </w:pPr>
      <w:hyperlink r:id="rId429">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59"/>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59"/>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0">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0"/>
        </w:numPr>
        <w:pStyle w:val="Compact"/>
      </w:pPr>
      <w:hyperlink r:id="rId431">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1"/>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1"/>
        </w:numPr>
        <w:pStyle w:val="Compact"/>
      </w:pPr>
      <w:r>
        <w:rPr>
          <w:bCs/>
          <w:b/>
        </w:rPr>
        <w:t xml:space="preserve">Cons</w:t>
      </w:r>
      <w:r>
        <w:t xml:space="preserve">: Limited options for customizing parameters or analysis methods. May not be suitable for datasets from other scRNA-seq platforms.</w:t>
      </w:r>
    </w:p>
    <w:bookmarkEnd w:id="432"/>
    <w:bookmarkStart w:id="440" w:name="downstream-tools-pros-and-cons"/>
    <w:p>
      <w:pPr>
        <w:pStyle w:val="Heading2"/>
      </w:pPr>
      <w:r>
        <w:rPr>
          <w:rStyle w:val="SectionNumber"/>
        </w:rPr>
        <w:t xml:space="preserve">13.6</w:t>
      </w:r>
      <w:r>
        <w:tab/>
      </w:r>
      <w:r>
        <w:t xml:space="preserve">Downstream tools Pros and Cons</w:t>
      </w:r>
    </w:p>
    <w:p>
      <w:pPr>
        <w:numPr>
          <w:ilvl w:val="0"/>
          <w:numId w:val="1062"/>
        </w:numPr>
        <w:pStyle w:val="Compact"/>
      </w:pPr>
      <w:hyperlink r:id="rId433">
        <w:r>
          <w:rPr>
            <w:rStyle w:val="Hyperlink"/>
          </w:rPr>
          <w:t xml:space="preserve">Seurat</w:t>
        </w:r>
      </w:hyperlink>
      <w:r>
        <w:t xml:space="preserve">:</w:t>
      </w:r>
    </w:p>
    <w:p>
      <w:pPr>
        <w:numPr>
          <w:ilvl w:val="1"/>
          <w:numId w:val="1063"/>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3"/>
        </w:numPr>
        <w:pStyle w:val="Compact"/>
      </w:pPr>
      <w:r>
        <w:rPr>
          <w:bCs/>
          <w:b/>
        </w:rPr>
        <w:t xml:space="preserve">Cons</w:t>
      </w:r>
      <w:r>
        <w:t xml:space="preserve">: Can be computationally intensive, especially for large datasets. Requires some knowledge of R programming language.</w:t>
      </w:r>
    </w:p>
    <w:p>
      <w:pPr>
        <w:numPr>
          <w:ilvl w:val="0"/>
          <w:numId w:val="1062"/>
        </w:numPr>
        <w:pStyle w:val="Compact"/>
      </w:pPr>
      <w:hyperlink r:id="rId434">
        <w:r>
          <w:rPr>
            <w:rStyle w:val="Hyperlink"/>
          </w:rPr>
          <w:t xml:space="preserve">Scanpy</w:t>
        </w:r>
      </w:hyperlink>
      <w:r>
        <w:t xml:space="preserve">:</w:t>
      </w:r>
    </w:p>
    <w:p>
      <w:pPr>
        <w:numPr>
          <w:ilvl w:val="1"/>
          <w:numId w:val="1064"/>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4"/>
        </w:numPr>
        <w:pStyle w:val="Compact"/>
      </w:pPr>
      <w:r>
        <w:rPr>
          <w:bCs/>
          <w:b/>
        </w:rPr>
        <w:t xml:space="preserve">Cons</w:t>
      </w:r>
      <w:r>
        <w:t xml:space="preserve">: May not be as feature-rich as some other tools, such as Seurat. Does not yet support multiple modalities.</w:t>
      </w:r>
    </w:p>
    <w:p>
      <w:pPr>
        <w:numPr>
          <w:ilvl w:val="0"/>
          <w:numId w:val="1062"/>
        </w:numPr>
        <w:pStyle w:val="Compact"/>
      </w:pPr>
      <w:hyperlink r:id="rId435">
        <w:r>
          <w:rPr>
            <w:rStyle w:val="Hyperlink"/>
          </w:rPr>
          <w:t xml:space="preserve">Monocle</w:t>
        </w:r>
      </w:hyperlink>
      <w:r>
        <w:t xml:space="preserve">:</w:t>
      </w:r>
    </w:p>
    <w:p>
      <w:pPr>
        <w:numPr>
          <w:ilvl w:val="1"/>
          <w:numId w:val="1065"/>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5"/>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2"/>
        </w:numPr>
        <w:pStyle w:val="Compact"/>
      </w:pPr>
      <w:hyperlink r:id="rId435">
        <w:r>
          <w:rPr>
            <w:rStyle w:val="Hyperlink"/>
          </w:rPr>
          <w:t xml:space="preserve">Monocle</w:t>
        </w:r>
      </w:hyperlink>
      <w:r>
        <w:t xml:space="preserve">:</w:t>
      </w:r>
    </w:p>
    <w:p>
      <w:pPr>
        <w:numPr>
          <w:ilvl w:val="1"/>
          <w:numId w:val="1066"/>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6"/>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39" w:name="doublet-tool-pros-and-cons"/>
    <w:p>
      <w:pPr>
        <w:pStyle w:val="Heading3"/>
      </w:pPr>
      <w:r>
        <w:rPr>
          <w:rStyle w:val="SectionNumber"/>
        </w:rPr>
        <w:t xml:space="preserve">13.6.1</w:t>
      </w:r>
      <w:r>
        <w:tab/>
      </w:r>
      <w:r>
        <w:t xml:space="preserve">Doublet Tool Pros and Cons</w:t>
      </w:r>
    </w:p>
    <w:p>
      <w:pPr>
        <w:numPr>
          <w:ilvl w:val="0"/>
          <w:numId w:val="1067"/>
        </w:numPr>
        <w:pStyle w:val="Compact"/>
      </w:pPr>
      <w:hyperlink r:id="rId436">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68"/>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8"/>
        </w:numPr>
        <w:pStyle w:val="Compact"/>
      </w:pPr>
      <w:r>
        <w:rPr>
          <w:bCs/>
          <w:b/>
        </w:rPr>
        <w:t xml:space="preserve">Cons</w:t>
      </w:r>
      <w:r>
        <w:t xml:space="preserve">: Can be computationally intensive for large datasets. May require some knowledge of R programming language.</w:t>
      </w:r>
    </w:p>
    <w:p>
      <w:pPr>
        <w:numPr>
          <w:ilvl w:val="0"/>
          <w:numId w:val="1067"/>
        </w:numPr>
        <w:pStyle w:val="Compact"/>
      </w:pPr>
      <w:hyperlink r:id="rId437">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69"/>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69"/>
        </w:numPr>
        <w:pStyle w:val="Compact"/>
      </w:pPr>
      <w:r>
        <w:rPr>
          <w:bCs/>
          <w:b/>
        </w:rPr>
        <w:t xml:space="preserve">Cons</w:t>
      </w:r>
      <w:r>
        <w:t xml:space="preserve">:May not be as accurate as other methods, especially for low-quality data. Limited to 10x Genomics data.</w:t>
      </w:r>
    </w:p>
    <w:p>
      <w:pPr>
        <w:numPr>
          <w:ilvl w:val="0"/>
          <w:numId w:val="1067"/>
        </w:numPr>
        <w:pStyle w:val="Compact"/>
      </w:pPr>
      <w:hyperlink r:id="rId438">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0"/>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0"/>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39"/>
    <w:bookmarkEnd w:id="440"/>
    <w:bookmarkStart w:id="448" w:name="more-scrna-seq-tools-and-tutorials"/>
    <w:p>
      <w:pPr>
        <w:pStyle w:val="Heading2"/>
      </w:pPr>
      <w:r>
        <w:rPr>
          <w:rStyle w:val="SectionNumber"/>
        </w:rPr>
        <w:t xml:space="preserve">13.7</w:t>
      </w:r>
      <w:r>
        <w:tab/>
      </w:r>
      <w:r>
        <w:t xml:space="preserve">More scRNA-seq tools and tutorials</w:t>
      </w:r>
    </w:p>
    <w:p>
      <w:pPr>
        <w:numPr>
          <w:ilvl w:val="0"/>
          <w:numId w:val="1071"/>
        </w:numPr>
        <w:pStyle w:val="Compact"/>
      </w:pPr>
      <w:hyperlink r:id="rId441">
        <w:r>
          <w:rPr>
            <w:rStyle w:val="Hyperlink"/>
          </w:rPr>
          <w:t xml:space="preserve">AlevinQC</w:t>
        </w:r>
      </w:hyperlink>
    </w:p>
    <w:p>
      <w:pPr>
        <w:numPr>
          <w:ilvl w:val="0"/>
          <w:numId w:val="1071"/>
        </w:numPr>
        <w:pStyle w:val="Compact"/>
      </w:pPr>
      <w:hyperlink r:id="rId442">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1"/>
        </w:numPr>
        <w:pStyle w:val="Compact"/>
      </w:pPr>
      <w:hyperlink r:id="rId443">
        <w:r>
          <w:rPr>
            <w:rStyle w:val="Hyperlink"/>
          </w:rPr>
          <w:t xml:space="preserve">Single Cell Genome Viewer</w:t>
        </w:r>
      </w:hyperlink>
    </w:p>
    <w:p>
      <w:pPr>
        <w:numPr>
          <w:ilvl w:val="0"/>
          <w:numId w:val="1071"/>
        </w:numPr>
        <w:pStyle w:val="Compact"/>
      </w:pPr>
      <w:r>
        <w:t xml:space="preserve">For normalization</w:t>
      </w:r>
      <w:r>
        <w:t xml:space="preserve"> </w:t>
      </w:r>
      <w:hyperlink r:id="rId444">
        <w:r>
          <w:rPr>
            <w:rStyle w:val="Hyperlink"/>
          </w:rPr>
          <w:t xml:space="preserve">scater</w:t>
        </w:r>
      </w:hyperlink>
    </w:p>
    <w:p>
      <w:pPr>
        <w:numPr>
          <w:ilvl w:val="0"/>
          <w:numId w:val="1071"/>
        </w:numPr>
        <w:pStyle w:val="Compact"/>
      </w:pPr>
      <w:hyperlink r:id="rId445">
        <w:r>
          <w:rPr>
            <w:rStyle w:val="Hyperlink"/>
          </w:rPr>
          <w:t xml:space="preserve">TumorDecon</w:t>
        </w:r>
      </w:hyperlink>
      <w:r>
        <w:t xml:space="preserve"> </w:t>
      </w:r>
      <w:r>
        <w:t xml:space="preserve">can be used to generate customized signature matrices from single-cell RNA-sequence profiles. It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bookmarkEnd w:id="448"/>
    <w:bookmarkStart w:id="449" w:name="visualization-gui-tools-1"/>
    <w:p>
      <w:pPr>
        <w:pStyle w:val="Heading2"/>
      </w:pPr>
      <w:r>
        <w:rPr>
          <w:rStyle w:val="SectionNumber"/>
        </w:rPr>
        <w:t xml:space="preserve">13.8</w:t>
      </w:r>
      <w:r>
        <w:tab/>
      </w:r>
      <w:r>
        <w:t xml:space="preserve">Visualization GUI tools</w:t>
      </w:r>
    </w:p>
    <w:p>
      <w:pPr>
        <w:numPr>
          <w:ilvl w:val="0"/>
          <w:numId w:val="1072"/>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9"/>
    <w:bookmarkStart w:id="456"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3"/>
        </w:numPr>
        <w:pStyle w:val="Compact"/>
      </w:pPr>
      <w:hyperlink r:id="rId450">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3"/>
        </w:numPr>
        <w:pStyle w:val="Compact"/>
      </w:pPr>
      <w:hyperlink r:id="rId451">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3"/>
        </w:numPr>
        <w:pStyle w:val="Compact"/>
      </w:pPr>
      <w:hyperlink r:id="rId452">
        <w:r>
          <w:rPr>
            <w:rStyle w:val="Hyperlink"/>
          </w:rPr>
          <w:t xml:space="preserve">Alex’s Lemonade scRNA-seq Training module</w:t>
        </w:r>
      </w:hyperlink>
      <w:r>
        <w:t xml:space="preserve"> </w:t>
      </w:r>
      <w:r>
        <w:t xml:space="preserve">- A cancer based workshop module based in R, with exercise notebooks.</w:t>
      </w:r>
    </w:p>
    <w:p>
      <w:pPr>
        <w:numPr>
          <w:ilvl w:val="0"/>
          <w:numId w:val="1073"/>
        </w:numPr>
        <w:pStyle w:val="Compact"/>
      </w:pPr>
      <w:hyperlink r:id="rId453">
        <w:r>
          <w:rPr>
            <w:rStyle w:val="Hyperlink"/>
          </w:rPr>
          <w:t xml:space="preserve">Sanger Single Cell Course</w:t>
        </w:r>
      </w:hyperlink>
      <w:r>
        <w:t xml:space="preserve"> </w:t>
      </w:r>
      <w:r>
        <w:t xml:space="preserve">- a general tutorial based on using R.</w:t>
      </w:r>
    </w:p>
    <w:p>
      <w:pPr>
        <w:numPr>
          <w:ilvl w:val="0"/>
          <w:numId w:val="1073"/>
        </w:numPr>
        <w:pStyle w:val="Compact"/>
      </w:pPr>
      <w:hyperlink r:id="rId454">
        <w:r>
          <w:rPr>
            <w:rStyle w:val="Hyperlink"/>
          </w:rPr>
          <w:t xml:space="preserve">ASAP: Automated Single-cell Analysis Pipeline</w:t>
        </w:r>
      </w:hyperlink>
      <w:r>
        <w:t xml:space="preserve"> </w:t>
      </w:r>
      <w:r>
        <w:t xml:space="preserve">is a web server that allows you to process scRNA-seq data.</w:t>
      </w:r>
    </w:p>
    <w:p>
      <w:pPr>
        <w:numPr>
          <w:ilvl w:val="0"/>
          <w:numId w:val="1073"/>
        </w:numPr>
        <w:pStyle w:val="Compact"/>
      </w:pPr>
      <w:hyperlink r:id="rId455">
        <w:r>
          <w:rPr>
            <w:rStyle w:val="Hyperlink"/>
          </w:rPr>
          <w:t xml:space="preserve">Processing raw 10X Genomics single-cell RNA-seq data (with cellranger)</w:t>
        </w:r>
      </w:hyperlink>
      <w:r>
        <w:t xml:space="preserve"> </w:t>
      </w:r>
      <w:r>
        <w:t xml:space="preserve">- a tutorial based on using CellRanger.</w:t>
      </w:r>
    </w:p>
    <w:bookmarkEnd w:id="456"/>
    <w:bookmarkStart w:id="467" w:name="useful-readings"/>
    <w:p>
      <w:pPr>
        <w:pStyle w:val="Heading2"/>
      </w:pPr>
      <w:r>
        <w:rPr>
          <w:rStyle w:val="SectionNumber"/>
        </w:rPr>
        <w:t xml:space="preserve">13.10</w:t>
      </w:r>
      <w:r>
        <w:tab/>
      </w:r>
      <w:r>
        <w:t xml:space="preserve">Useful readings</w:t>
      </w:r>
    </w:p>
    <w:p>
      <w:pPr>
        <w:numPr>
          <w:ilvl w:val="0"/>
          <w:numId w:val="1074"/>
        </w:numPr>
        <w:pStyle w:val="Compact"/>
      </w:pPr>
      <w:hyperlink r:id="rId457">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4"/>
        </w:numPr>
        <w:pStyle w:val="Compact"/>
      </w:pPr>
      <w:hyperlink r:id="rId458">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4"/>
        </w:numPr>
        <w:pStyle w:val="Compact"/>
      </w:pPr>
      <w:hyperlink r:id="rId459">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4"/>
        </w:numPr>
        <w:pStyle w:val="Compact"/>
      </w:pPr>
      <w:hyperlink r:id="rId460">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4"/>
        </w:numPr>
        <w:pStyle w:val="Compact"/>
      </w:pPr>
      <w:hyperlink r:id="rId461">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4"/>
        </w:numPr>
        <w:pStyle w:val="Compact"/>
      </w:pPr>
      <w:hyperlink r:id="rId462">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4"/>
        </w:numPr>
        <w:pStyle w:val="Compact"/>
      </w:pPr>
      <w:hyperlink r:id="rId463">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4"/>
        </w:numPr>
        <w:pStyle w:val="Compact"/>
      </w:pPr>
      <w:hyperlink r:id="rId464">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4"/>
        </w:numPr>
        <w:pStyle w:val="Compact"/>
      </w:pPr>
      <w:hyperlink r:id="rId465">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4"/>
        </w:numPr>
        <w:pStyle w:val="Compact"/>
      </w:pPr>
      <w:hyperlink r:id="rId466">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7"/>
    <w:bookmarkEnd w:id="468"/>
    <w:bookmarkStart w:id="505"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0"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2"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9"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73"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73"/>
    <w:bookmarkStart w:id="474"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4"/>
    <w:bookmarkStart w:id="475"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5"/>
    <w:bookmarkStart w:id="476"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6"/>
    <w:bookmarkStart w:id="477"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7"/>
    <w:bookmarkStart w:id="478"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8"/>
    <w:bookmarkEnd w:id="479"/>
    <w:bookmarkStart w:id="480"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75"/>
        </w:numPr>
        <w:pStyle w:val="Compact"/>
      </w:pPr>
      <w:r>
        <w:t xml:space="preserve">ATAC-seq is broadly used by many laboratories to characterize accessible chromatin in cell lines or sorted cells derived from tissues.</w:t>
      </w:r>
    </w:p>
    <w:p>
      <w:pPr>
        <w:numPr>
          <w:ilvl w:val="0"/>
          <w:numId w:val="1075"/>
        </w:numPr>
        <w:pStyle w:val="Compact"/>
      </w:pPr>
      <w:r>
        <w:t xml:space="preserve">In principle, ATAC-seq can identify a large proportion of cis-regulatory elements.</w:t>
      </w:r>
    </w:p>
    <w:p>
      <w:pPr>
        <w:numPr>
          <w:ilvl w:val="0"/>
          <w:numId w:val="1075"/>
        </w:numPr>
        <w:pStyle w:val="Compact"/>
      </w:pPr>
      <w:r>
        <w:t xml:space="preserve">In contrast to ChIP-seq, ATAC-seq does not require specific antibodies, or knowledge of the important transcription factors in a system.</w:t>
      </w:r>
    </w:p>
    <w:bookmarkEnd w:id="480"/>
    <w:bookmarkStart w:id="481"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76"/>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76"/>
        </w:numPr>
        <w:pStyle w:val="Compact"/>
      </w:pPr>
      <w:r>
        <w:t xml:space="preserve">Accessible regions are not necessarily cis-regulatory regions, although many of them are.</w:t>
      </w:r>
    </w:p>
    <w:p>
      <w:pPr>
        <w:numPr>
          <w:ilvl w:val="0"/>
          <w:numId w:val="1076"/>
        </w:numPr>
        <w:pStyle w:val="Compact"/>
      </w:pPr>
      <w:r>
        <w:t xml:space="preserve">The genes that are regulated by cis-regulatory elements cannot be identified conclusively by ATAC-seq alone.</w:t>
      </w:r>
    </w:p>
    <w:p>
      <w:pPr>
        <w:numPr>
          <w:ilvl w:val="0"/>
          <w:numId w:val="1076"/>
        </w:numPr>
        <w:pStyle w:val="Compact"/>
      </w:pPr>
      <w:r>
        <w:t xml:space="preserve">ATAC-seq data can be biased making direct comparisons difficult.</w:t>
      </w:r>
    </w:p>
    <w:p>
      <w:pPr>
        <w:numPr>
          <w:ilvl w:val="0"/>
          <w:numId w:val="1076"/>
        </w:numPr>
        <w:pStyle w:val="Compact"/>
      </w:pPr>
      <w:r>
        <w:t xml:space="preserve">ATAC-seq can be affected by batch effects.</w:t>
      </w:r>
    </w:p>
    <w:bookmarkEnd w:id="481"/>
    <w:bookmarkStart w:id="482"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82"/>
    <w:bookmarkStart w:id="488" w:name="atac-seq-tools-pros-and-cons"/>
    <w:p>
      <w:pPr>
        <w:pStyle w:val="Heading2"/>
      </w:pPr>
      <w:r>
        <w:rPr>
          <w:rStyle w:val="SectionNumber"/>
        </w:rPr>
        <w:t xml:space="preserve">14.7</w:t>
      </w:r>
      <w:r>
        <w:tab/>
      </w:r>
      <w:r>
        <w:t xml:space="preserve">ATAC-seq tools pros and cons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77"/>
        </w:numPr>
        <w:pStyle w:val="Compact"/>
      </w:pPr>
      <w:hyperlink r:id="rId483">
        <w:r>
          <w:rPr>
            <w:rStyle w:val="Hyperlink"/>
          </w:rPr>
          <w:t xml:space="preserve">MACS2</w:t>
        </w:r>
      </w:hyperlink>
      <w:r>
        <w:t xml:space="preserve">:</w:t>
      </w:r>
    </w:p>
    <w:p>
      <w:pPr>
        <w:numPr>
          <w:ilvl w:val="1"/>
          <w:numId w:val="107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78"/>
        </w:numPr>
        <w:pStyle w:val="Compact"/>
      </w:pPr>
      <w:r>
        <w:rPr>
          <w:bCs/>
          <w:b/>
        </w:rPr>
        <w:t xml:space="preserve">Cons</w:t>
      </w:r>
      <w:r>
        <w:t xml:space="preserve">: assumes that all peaks have the same shape, may not be as accurate as other peak-calling tools in some cases.</w:t>
      </w:r>
    </w:p>
    <w:p>
      <w:pPr>
        <w:numPr>
          <w:ilvl w:val="0"/>
          <w:numId w:val="1077"/>
        </w:numPr>
        <w:pStyle w:val="Compact"/>
      </w:pPr>
      <w:hyperlink r:id="rId484">
        <w:r>
          <w:rPr>
            <w:rStyle w:val="Hyperlink"/>
          </w:rPr>
          <w:t xml:space="preserve">HOMER</w:t>
        </w:r>
      </w:hyperlink>
      <w:r>
        <w:t xml:space="preserve">:</w:t>
      </w:r>
    </w:p>
    <w:p>
      <w:pPr>
        <w:numPr>
          <w:ilvl w:val="1"/>
          <w:numId w:val="107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79"/>
        </w:numPr>
        <w:pStyle w:val="Compact"/>
      </w:pPr>
      <w:r>
        <w:rPr>
          <w:bCs/>
          <w:b/>
        </w:rPr>
        <w:t xml:space="preserve">Cons</w:t>
      </w:r>
      <w:r>
        <w:t xml:space="preserve">: may not be as accurate as other peak-calling tools in some cases.</w:t>
      </w:r>
    </w:p>
    <w:p>
      <w:pPr>
        <w:numPr>
          <w:ilvl w:val="0"/>
          <w:numId w:val="1077"/>
        </w:numPr>
        <w:pStyle w:val="Compact"/>
      </w:pPr>
      <w:hyperlink r:id="rId485">
        <w:r>
          <w:rPr>
            <w:rStyle w:val="Hyperlink"/>
          </w:rPr>
          <w:t xml:space="preserve">ATACseqQC</w:t>
        </w:r>
      </w:hyperlink>
      <w:r>
        <w:t xml:space="preserve">:</w:t>
      </w:r>
    </w:p>
    <w:p>
      <w:pPr>
        <w:numPr>
          <w:ilvl w:val="1"/>
          <w:numId w:val="108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0"/>
        </w:numPr>
        <w:pStyle w:val="Compact"/>
      </w:pPr>
      <w:r>
        <w:rPr>
          <w:bCs/>
          <w:b/>
        </w:rPr>
        <w:t xml:space="preserve">Cons</w:t>
      </w:r>
      <w:r>
        <w:t xml:space="preserve">: does not perform peak-calling or downstream analysis.</w:t>
      </w:r>
    </w:p>
    <w:p>
      <w:pPr>
        <w:numPr>
          <w:ilvl w:val="0"/>
          <w:numId w:val="1077"/>
        </w:numPr>
        <w:pStyle w:val="Compact"/>
      </w:pPr>
      <w:hyperlink r:id="rId486">
        <w:r>
          <w:rPr>
            <w:rStyle w:val="Hyperlink"/>
          </w:rPr>
          <w:t xml:space="preserve">deeptools</w:t>
        </w:r>
      </w:hyperlink>
      <w:r>
        <w:t xml:space="preserve">:</w:t>
      </w:r>
    </w:p>
    <w:p>
      <w:pPr>
        <w:numPr>
          <w:ilvl w:val="1"/>
          <w:numId w:val="108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1"/>
        </w:numPr>
        <w:pStyle w:val="Compact"/>
      </w:pPr>
      <w:r>
        <w:rPr>
          <w:bCs/>
          <w:b/>
        </w:rPr>
        <w:t xml:space="preserve">Cons</w:t>
      </w:r>
      <w:r>
        <w:t xml:space="preserve">: may require some programming skills to use effectively.</w:t>
      </w:r>
    </w:p>
    <w:p>
      <w:pPr>
        <w:numPr>
          <w:ilvl w:val="0"/>
          <w:numId w:val="1077"/>
        </w:numPr>
        <w:pStyle w:val="Compact"/>
      </w:pPr>
      <w:hyperlink r:id="rId487">
        <w:r>
          <w:rPr>
            <w:rStyle w:val="Hyperlink"/>
          </w:rPr>
          <w:t xml:space="preserve">DFilter</w:t>
        </w:r>
      </w:hyperlink>
      <w:r>
        <w:t xml:space="preserve">:</w:t>
      </w:r>
    </w:p>
    <w:p>
      <w:pPr>
        <w:numPr>
          <w:ilvl w:val="1"/>
          <w:numId w:val="108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2"/>
        </w:numPr>
        <w:pStyle w:val="Compact"/>
      </w:pPr>
      <w:r>
        <w:rPr>
          <w:bCs/>
          <w:b/>
        </w:rPr>
        <w:t xml:space="preserve">Cons</w:t>
      </w:r>
      <w:r>
        <w:t xml:space="preserve">: may require more computational resources than other tools.</w:t>
      </w:r>
    </w:p>
    <w:bookmarkEnd w:id="488"/>
    <w:bookmarkStart w:id="489" w:name="additional-tutorials-and-tools"/>
    <w:p>
      <w:pPr>
        <w:pStyle w:val="Heading2"/>
      </w:pPr>
      <w:r>
        <w:rPr>
          <w:rStyle w:val="SectionNumber"/>
        </w:rPr>
        <w:t xml:space="preserve">14.8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83"/>
        </w:numPr>
        <w:pStyle w:val="Compact"/>
      </w:pPr>
      <w:hyperlink r:id="rId483">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08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84"/>
        </w:numPr>
        <w:pStyle w:val="Compact"/>
      </w:pPr>
      <w:r>
        <w:rPr>
          <w:bCs/>
          <w:b/>
        </w:rPr>
        <w:t xml:space="preserve">Cons</w:t>
      </w:r>
      <w:r>
        <w:t xml:space="preserve">: assumes that all peaks have the same shape, may not be as accurate as other peak-calling tools in some cases.</w:t>
      </w:r>
    </w:p>
    <w:p>
      <w:pPr>
        <w:numPr>
          <w:ilvl w:val="0"/>
          <w:numId w:val="1083"/>
        </w:numPr>
        <w:pStyle w:val="Compact"/>
      </w:pPr>
      <w:hyperlink r:id="rId484">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08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85"/>
        </w:numPr>
        <w:pStyle w:val="Compact"/>
      </w:pPr>
      <w:r>
        <w:rPr>
          <w:bCs/>
          <w:b/>
        </w:rPr>
        <w:t xml:space="preserve">Cons</w:t>
      </w:r>
      <w:r>
        <w:t xml:space="preserve">: may not be as accurate as other peak-calling tools in some cases.</w:t>
      </w:r>
    </w:p>
    <w:p>
      <w:pPr>
        <w:numPr>
          <w:ilvl w:val="0"/>
          <w:numId w:val="1083"/>
        </w:numPr>
        <w:pStyle w:val="Compact"/>
      </w:pPr>
      <w:hyperlink r:id="rId485">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08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86"/>
        </w:numPr>
        <w:pStyle w:val="Compact"/>
      </w:pPr>
      <w:r>
        <w:rPr>
          <w:bCs/>
          <w:b/>
        </w:rPr>
        <w:t xml:space="preserve">Cons</w:t>
      </w:r>
      <w:r>
        <w:t xml:space="preserve">: does not perform peak-calling or downstream analysis.</w:t>
      </w:r>
    </w:p>
    <w:p>
      <w:pPr>
        <w:numPr>
          <w:ilvl w:val="0"/>
          <w:numId w:val="1083"/>
        </w:numPr>
        <w:pStyle w:val="Compact"/>
      </w:pPr>
      <w:hyperlink r:id="rId486">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08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87"/>
        </w:numPr>
        <w:pStyle w:val="Compact"/>
      </w:pPr>
      <w:r>
        <w:rPr>
          <w:bCs/>
          <w:b/>
        </w:rPr>
        <w:t xml:space="preserve">Cons</w:t>
      </w:r>
      <w:r>
        <w:t xml:space="preserve">: may require some programming skills to use effectively.</w:t>
      </w:r>
    </w:p>
    <w:p>
      <w:pPr>
        <w:numPr>
          <w:ilvl w:val="0"/>
          <w:numId w:val="1083"/>
        </w:numPr>
        <w:pStyle w:val="Compact"/>
      </w:pPr>
      <w:hyperlink r:id="rId487">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08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88"/>
        </w:numPr>
        <w:pStyle w:val="Compact"/>
      </w:pPr>
      <w:r>
        <w:rPr>
          <w:bCs/>
          <w:b/>
        </w:rPr>
        <w:t xml:space="preserve">Cons</w:t>
      </w:r>
      <w:r>
        <w:t xml:space="preserve">: may require more computational resources than other tools.</w:t>
      </w:r>
    </w:p>
    <w:bookmarkEnd w:id="489"/>
    <w:bookmarkStart w:id="495" w:name="additional-tutorials-and-tools-1"/>
    <w:p>
      <w:pPr>
        <w:pStyle w:val="Heading2"/>
      </w:pPr>
      <w:r>
        <w:rPr>
          <w:rStyle w:val="SectionNumber"/>
        </w:rPr>
        <w:t xml:space="preserve">14.9</w:t>
      </w:r>
      <w:r>
        <w:tab/>
      </w:r>
      <w:r>
        <w:t xml:space="preserve">Additional tutorials and tools</w:t>
      </w:r>
    </w:p>
    <w:p>
      <w:pPr>
        <w:numPr>
          <w:ilvl w:val="0"/>
          <w:numId w:val="1089"/>
        </w:numPr>
        <w:pStyle w:val="Compact"/>
      </w:pPr>
      <w:hyperlink r:id="rId490">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89"/>
        </w:numPr>
        <w:pStyle w:val="Compact"/>
      </w:pPr>
      <w:hyperlink r:id="rId491">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89"/>
        </w:numPr>
        <w:pStyle w:val="Compact"/>
      </w:pPr>
      <w:hyperlink r:id="rId492">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89"/>
        </w:numPr>
        <w:pStyle w:val="Compact"/>
      </w:pPr>
      <w:hyperlink r:id="rId493">
        <w:r>
          <w:rPr>
            <w:rStyle w:val="Hyperlink"/>
          </w:rPr>
          <w:t xml:space="preserve">Cistrome DB</w:t>
        </w:r>
      </w:hyperlink>
      <w:r>
        <w:t xml:space="preserve"> </w:t>
      </w:r>
      <w:r>
        <w:t xml:space="preserve">- a visual tool to allow you to browse your ATAC-seq data.</w:t>
      </w:r>
    </w:p>
    <w:p>
      <w:pPr>
        <w:numPr>
          <w:ilvl w:val="0"/>
          <w:numId w:val="1089"/>
        </w:numPr>
        <w:pStyle w:val="Compact"/>
      </w:pPr>
      <w:hyperlink r:id="rId494">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95"/>
    <w:bookmarkStart w:id="496" w:name="online-visualization-tools"/>
    <w:p>
      <w:pPr>
        <w:pStyle w:val="Heading2"/>
      </w:pPr>
      <w:r>
        <w:rPr>
          <w:rStyle w:val="SectionNumber"/>
        </w:rPr>
        <w:t xml:space="preserve">14.10</w:t>
      </w:r>
      <w:r>
        <w:tab/>
      </w:r>
      <w:r>
        <w:t xml:space="preserve">Online Visualization tools</w:t>
      </w:r>
    </w:p>
    <w:p>
      <w:pPr>
        <w:numPr>
          <w:ilvl w:val="0"/>
          <w:numId w:val="1090"/>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9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96"/>
    <w:bookmarkStart w:id="504" w:name="more-resources-about-atac-seq-data"/>
    <w:p>
      <w:pPr>
        <w:pStyle w:val="Heading2"/>
      </w:pPr>
      <w:r>
        <w:rPr>
          <w:rStyle w:val="SectionNumber"/>
        </w:rPr>
        <w:t xml:space="preserve">14.11</w:t>
      </w:r>
      <w:r>
        <w:tab/>
      </w:r>
      <w:r>
        <w:t xml:space="preserve">More resources about ATAC-seq data</w:t>
      </w:r>
    </w:p>
    <w:p>
      <w:pPr>
        <w:numPr>
          <w:ilvl w:val="0"/>
          <w:numId w:val="1091"/>
        </w:numPr>
        <w:pStyle w:val="Compact"/>
      </w:pPr>
      <w:hyperlink r:id="rId497">
        <w:r>
          <w:rPr>
            <w:rStyle w:val="Hyperlink"/>
          </w:rPr>
          <w:t xml:space="preserve">ATAC-seq overview from Galaxy</w:t>
        </w:r>
      </w:hyperlink>
      <w:r>
        <w:t xml:space="preserve"> </w:t>
      </w:r>
      <w:r>
        <w:t xml:space="preserve">- these slides explain the overarching concepts of ATAC-seq.</w:t>
      </w:r>
    </w:p>
    <w:p>
      <w:pPr>
        <w:numPr>
          <w:ilvl w:val="0"/>
          <w:numId w:val="1091"/>
        </w:numPr>
        <w:pStyle w:val="Compact"/>
      </w:pPr>
      <w:hyperlink r:id="rId498">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91"/>
        </w:numPr>
        <w:pStyle w:val="Compact"/>
      </w:pPr>
      <w:hyperlink r:id="rId499">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91"/>
        </w:numPr>
        <w:pStyle w:val="Compact"/>
      </w:pPr>
      <w:hyperlink r:id="rId500">
        <w:r>
          <w:rPr>
            <w:rStyle w:val="Hyperlink"/>
          </w:rPr>
          <w:t xml:space="preserve">Identifying and mitigating bias in chromatin</w:t>
        </w:r>
      </w:hyperlink>
    </w:p>
    <w:p>
      <w:pPr>
        <w:numPr>
          <w:ilvl w:val="0"/>
          <w:numId w:val="1091"/>
        </w:numPr>
        <w:pStyle w:val="Compact"/>
      </w:pPr>
      <w:hyperlink r:id="rId501">
        <w:r>
          <w:rPr>
            <w:rStyle w:val="Hyperlink"/>
          </w:rPr>
          <w:t xml:space="preserve">CHIP Snakemake pipeline for analyzing ChIP-seq and chromatin accessibility data</w:t>
        </w:r>
      </w:hyperlink>
    </w:p>
    <w:p>
      <w:pPr>
        <w:numPr>
          <w:ilvl w:val="0"/>
          <w:numId w:val="1091"/>
        </w:numPr>
        <w:pStyle w:val="Compact"/>
      </w:pPr>
      <w:hyperlink r:id="rId502">
        <w:r>
          <w:rPr>
            <w:rStyle w:val="Hyperlink"/>
          </w:rPr>
          <w:t xml:space="preserve">Paper on bias in DNase-seq footprinting analysis and fragment size effects, similar comments apply to ATAC-seq</w:t>
        </w:r>
      </w:hyperlink>
    </w:p>
    <w:p>
      <w:pPr>
        <w:numPr>
          <w:ilvl w:val="0"/>
          <w:numId w:val="1091"/>
        </w:numPr>
        <w:pStyle w:val="Compact"/>
      </w:pPr>
      <w:hyperlink r:id="rId503">
        <w:r>
          <w:rPr>
            <w:rStyle w:val="Hyperlink"/>
          </w:rPr>
          <w:t xml:space="preserve">SELMA Method for evaluating footprint bias in ATAC-seq</w:t>
        </w:r>
      </w:hyperlink>
    </w:p>
    <w:bookmarkEnd w:id="504"/>
    <w:bookmarkEnd w:id="505"/>
    <w:bookmarkStart w:id="516"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7"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bookmarkEnd w:id="507"/>
    <w:bookmarkStart w:id="509"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bookmarkEnd w:id="509"/>
    <w:bookmarkStart w:id="510" w:name="chip-seq-general-workflow-overview"/>
    <w:p>
      <w:pPr>
        <w:pStyle w:val="Heading2"/>
      </w:pPr>
      <w:r>
        <w:rPr>
          <w:rStyle w:val="SectionNumber"/>
        </w:rPr>
        <w:t xml:space="preserve">15.3</w:t>
      </w:r>
      <w:r>
        <w:tab/>
      </w:r>
      <w:r>
        <w:t xml:space="preserve">ChIP-Seq general workflow overview</w:t>
      </w:r>
    </w:p>
    <w:bookmarkEnd w:id="510"/>
    <w:bookmarkStart w:id="511"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11"/>
    <w:bookmarkStart w:id="512"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12"/>
    <w:bookmarkStart w:id="513" w:name="chip-seq-data-considerations"/>
    <w:p>
      <w:pPr>
        <w:pStyle w:val="Heading2"/>
      </w:pPr>
      <w:r>
        <w:rPr>
          <w:rStyle w:val="SectionNumber"/>
        </w:rPr>
        <w:t xml:space="preserve">15.6</w:t>
      </w:r>
      <w:r>
        <w:tab/>
      </w:r>
      <w:r>
        <w:t xml:space="preserve">ChIP-Seq data considerations</w:t>
      </w:r>
    </w:p>
    <w:bookmarkEnd w:id="513"/>
    <w:bookmarkStart w:id="514" w:name="chip-seq-analysis-tools"/>
    <w:p>
      <w:pPr>
        <w:pStyle w:val="Heading2"/>
      </w:pPr>
      <w:r>
        <w:rPr>
          <w:rStyle w:val="SectionNumber"/>
        </w:rPr>
        <w:t xml:space="preserve">15.7</w:t>
      </w:r>
      <w:r>
        <w:tab/>
      </w:r>
      <w:r>
        <w:t xml:space="preserve">ChiP-seq analysis tools</w:t>
      </w:r>
    </w:p>
    <w:bookmarkEnd w:id="514"/>
    <w:bookmarkStart w:id="515" w:name="more-resources-about-chip-seq-data"/>
    <w:p>
      <w:pPr>
        <w:pStyle w:val="Heading2"/>
      </w:pPr>
      <w:r>
        <w:rPr>
          <w:rStyle w:val="SectionNumber"/>
        </w:rPr>
        <w:t xml:space="preserve">15.8</w:t>
      </w:r>
      <w:r>
        <w:tab/>
      </w:r>
      <w:r>
        <w:t xml:space="preserve">More resources about ChiP-seq data</w:t>
      </w:r>
    </w:p>
    <w:p>
      <w:pPr>
        <w:numPr>
          <w:ilvl w:val="0"/>
          <w:numId w:val="1092"/>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9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9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15"/>
    <w:bookmarkEnd w:id="516"/>
    <w:bookmarkStart w:id="546"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1"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End w:id="521"/>
    <w:bookmarkStart w:id="527" w:name="methylation-data-considerations"/>
    <w:p>
      <w:pPr>
        <w:pStyle w:val="Heading2"/>
      </w:pPr>
      <w:r>
        <w:rPr>
          <w:rStyle w:val="SectionNumber"/>
        </w:rPr>
        <w:t xml:space="preserve">16.3</w:t>
      </w:r>
      <w:r>
        <w:tab/>
      </w:r>
      <w:r>
        <w:t xml:space="preserve">Methylation data considerations</w:t>
      </w:r>
    </w:p>
    <w:bookmarkStart w:id="523"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23"/>
    <w:bookmarkStart w:id="526"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bookmarkEnd w:id="526"/>
    <w:bookmarkEnd w:id="527"/>
    <w:bookmarkStart w:id="529"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29"/>
    <w:bookmarkStart w:id="541" w:name="methylation-tools-pros-and-cons"/>
    <w:p>
      <w:pPr>
        <w:pStyle w:val="Heading2"/>
      </w:pPr>
      <w:r>
        <w:rPr>
          <w:rStyle w:val="SectionNumber"/>
        </w:rPr>
        <w:t xml:space="preserve">16.5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531" w:name="quality-control"/>
    <w:p>
      <w:pPr>
        <w:pStyle w:val="Heading3"/>
      </w:pPr>
      <w:r>
        <w:rPr>
          <w:rStyle w:val="SectionNumber"/>
        </w:rPr>
        <w:t xml:space="preserve">16.5.1</w:t>
      </w:r>
      <w:r>
        <w:tab/>
      </w:r>
      <w:r>
        <w:t xml:space="preserve">Quality control:</w:t>
      </w:r>
    </w:p>
    <w:p>
      <w:pPr>
        <w:numPr>
          <w:ilvl w:val="0"/>
          <w:numId w:val="1093"/>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094"/>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094"/>
        </w:numPr>
        <w:pStyle w:val="Compact"/>
      </w:pPr>
      <w:r>
        <w:rPr>
          <w:bCs/>
          <w:b/>
        </w:rPr>
        <w:t xml:space="preserve">Cons</w:t>
      </w:r>
      <w:r>
        <w:t xml:space="preserve">: Does not perform any trimming or filtering of low-quality reads Not specifically designed for bisulfite sequencing data</w:t>
      </w:r>
    </w:p>
    <w:p>
      <w:pPr>
        <w:numPr>
          <w:ilvl w:val="0"/>
          <w:numId w:val="1093"/>
        </w:numPr>
        <w:pStyle w:val="Compact"/>
      </w:pPr>
      <w:hyperlink r:id="rId530">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095"/>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095"/>
        </w:numPr>
        <w:pStyle w:val="Compact"/>
      </w:pPr>
      <w:r>
        <w:rPr>
          <w:bCs/>
          <w:b/>
        </w:rPr>
        <w:t xml:space="preserve">Cons</w:t>
      </w:r>
      <w:r>
        <w:t xml:space="preserve">: Limited flexibility in terms of the trimming and filtering options. Does not provide quality control metrics or plots</w:t>
      </w:r>
    </w:p>
    <w:bookmarkEnd w:id="531"/>
    <w:bookmarkStart w:id="534" w:name="analysis"/>
    <w:p>
      <w:pPr>
        <w:pStyle w:val="Heading3"/>
      </w:pPr>
      <w:r>
        <w:rPr>
          <w:rStyle w:val="SectionNumber"/>
        </w:rPr>
        <w:t xml:space="preserve">16.5.2</w:t>
      </w:r>
      <w:r>
        <w:tab/>
      </w:r>
      <w:r>
        <w:t xml:space="preserve">Analysis:</w:t>
      </w:r>
    </w:p>
    <w:p>
      <w:pPr>
        <w:numPr>
          <w:ilvl w:val="0"/>
          <w:numId w:val="1096"/>
        </w:numPr>
        <w:pStyle w:val="Compact"/>
      </w:pPr>
      <w:hyperlink r:id="rId532">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097"/>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097"/>
        </w:numPr>
        <w:pStyle w:val="Compact"/>
      </w:pPr>
      <w:r>
        <w:rPr>
          <w:bCs/>
          <w:b/>
        </w:rPr>
        <w:t xml:space="preserve">Cons</w:t>
      </w:r>
      <w:r>
        <w:t xml:space="preserve">:Can be computationally intensive for large datasets. Requires a pre-built bisulfite-converted reference genome</w:t>
      </w:r>
    </w:p>
    <w:p>
      <w:pPr>
        <w:numPr>
          <w:ilvl w:val="0"/>
          <w:numId w:val="1096"/>
        </w:numPr>
        <w:pStyle w:val="Compact"/>
      </w:pPr>
      <w:hyperlink r:id="rId533">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098"/>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098"/>
        </w:numPr>
        <w:pStyle w:val="Compact"/>
      </w:pPr>
      <w:r>
        <w:rPr>
          <w:bCs/>
          <w:b/>
        </w:rPr>
        <w:t xml:space="preserve">Cons</w:t>
      </w:r>
      <w:r>
        <w:t xml:space="preserve">: Does not perform methylation calling or quantification</w:t>
      </w:r>
    </w:p>
    <w:bookmarkEnd w:id="534"/>
    <w:bookmarkStart w:id="536" w:name="methylation-calling"/>
    <w:p>
      <w:pPr>
        <w:pStyle w:val="Heading3"/>
      </w:pPr>
      <w:r>
        <w:rPr>
          <w:rStyle w:val="SectionNumber"/>
        </w:rPr>
        <w:t xml:space="preserve">16.5.3</w:t>
      </w:r>
      <w:r>
        <w:tab/>
      </w:r>
      <w:r>
        <w:t xml:space="preserve">Methylation calling:</w:t>
      </w:r>
    </w:p>
    <w:p>
      <w:pPr>
        <w:numPr>
          <w:ilvl w:val="0"/>
          <w:numId w:val="1099"/>
        </w:numPr>
        <w:pStyle w:val="Compact"/>
      </w:pPr>
      <w:hyperlink r:id="rId532">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00"/>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00"/>
        </w:numPr>
        <w:pStyle w:val="Compact"/>
      </w:pPr>
      <w:r>
        <w:rPr>
          <w:bCs/>
          <w:b/>
        </w:rPr>
        <w:t xml:space="preserve">Cons</w:t>
      </w:r>
      <w:r>
        <w:t xml:space="preserve">:Can be computationally intensive for large datasets. Requires a pre-built bisulfite-converted reference genome</w:t>
      </w:r>
    </w:p>
    <w:p>
      <w:pPr>
        <w:numPr>
          <w:ilvl w:val="0"/>
          <w:numId w:val="1099"/>
        </w:numPr>
        <w:pStyle w:val="Compact"/>
      </w:pPr>
      <w:hyperlink r:id="rId535">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01"/>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01"/>
        </w:numPr>
        <w:pStyle w:val="Compact"/>
      </w:pPr>
      <w:r>
        <w:rPr>
          <w:bCs/>
          <w:b/>
        </w:rPr>
        <w:t xml:space="preserve">Cons</w:t>
      </w:r>
      <w:r>
        <w:t xml:space="preserve">:Does not perform alignment or methylation quantification</w:t>
      </w:r>
    </w:p>
    <w:bookmarkEnd w:id="536"/>
    <w:bookmarkStart w:id="538" w:name="methylation-quantification"/>
    <w:p>
      <w:pPr>
        <w:pStyle w:val="Heading3"/>
      </w:pPr>
      <w:r>
        <w:rPr>
          <w:rStyle w:val="SectionNumber"/>
        </w:rPr>
        <w:t xml:space="preserve">16.5.4</w:t>
      </w:r>
      <w:r>
        <w:tab/>
      </w:r>
      <w:r>
        <w:t xml:space="preserve">Methylation quantification:</w:t>
      </w:r>
    </w:p>
    <w:p>
      <w:pPr>
        <w:numPr>
          <w:ilvl w:val="0"/>
          <w:numId w:val="1102"/>
        </w:numPr>
        <w:pStyle w:val="Compact"/>
      </w:pPr>
      <w:hyperlink r:id="rId537">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03"/>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03"/>
        </w:numPr>
        <w:pStyle w:val="Compact"/>
      </w:pPr>
      <w:r>
        <w:rPr>
          <w:bCs/>
          <w:b/>
        </w:rPr>
        <w:t xml:space="preserve">Cons</w:t>
      </w:r>
      <w:r>
        <w:t xml:space="preserve">: Can be computationally intensive for large datasets. Requires some knowledge of R programming language to use effectively</w:t>
      </w:r>
    </w:p>
    <w:p>
      <w:pPr>
        <w:numPr>
          <w:ilvl w:val="0"/>
          <w:numId w:val="1102"/>
        </w:numPr>
        <w:pStyle w:val="Compact"/>
      </w:pPr>
      <w:hyperlink r:id="rId532">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538"/>
    <w:bookmarkStart w:id="540" w:name="analysis-1"/>
    <w:p>
      <w:pPr>
        <w:pStyle w:val="Heading3"/>
      </w:pPr>
      <w:r>
        <w:rPr>
          <w:rStyle w:val="SectionNumber"/>
        </w:rPr>
        <w:t xml:space="preserve">16.5.5</w:t>
      </w:r>
      <w:r>
        <w:tab/>
      </w:r>
      <w:r>
        <w:t xml:space="preserve">Analysis:</w:t>
      </w:r>
    </w:p>
    <w:p>
      <w:pPr>
        <w:numPr>
          <w:ilvl w:val="0"/>
          <w:numId w:val="1104"/>
        </w:numPr>
        <w:pStyle w:val="Compact"/>
      </w:pPr>
      <w:hyperlink r:id="rId539">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05"/>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05"/>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04"/>
        </w:numPr>
        <w:pStyle w:val="Compact"/>
      </w:pPr>
      <w:hyperlink r:id="rId537">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540"/>
    <w:bookmarkEnd w:id="541"/>
    <w:bookmarkStart w:id="545" w:name="more-resources-2"/>
    <w:p>
      <w:pPr>
        <w:pStyle w:val="Heading2"/>
      </w:pPr>
      <w:r>
        <w:rPr>
          <w:rStyle w:val="SectionNumber"/>
        </w:rPr>
        <w:t xml:space="preserve">16.6</w:t>
      </w:r>
      <w:r>
        <w:tab/>
      </w:r>
      <w:r>
        <w:t xml:space="preserve">More resources</w:t>
      </w:r>
    </w:p>
    <w:p>
      <w:pPr>
        <w:numPr>
          <w:ilvl w:val="0"/>
          <w:numId w:val="1106"/>
        </w:numPr>
        <w:pStyle w:val="Compact"/>
      </w:pPr>
      <w:hyperlink r:id="rId542">
        <w:r>
          <w:rPr>
            <w:rStyle w:val="Hyperlink"/>
          </w:rPr>
          <w:t xml:space="preserve">DNA methylation analysis with Galaxy tutorial</w:t>
        </w:r>
      </w:hyperlink>
    </w:p>
    <w:p>
      <w:pPr>
        <w:numPr>
          <w:ilvl w:val="0"/>
          <w:numId w:val="1106"/>
        </w:numPr>
        <w:pStyle w:val="Compact"/>
      </w:pPr>
      <w:hyperlink r:id="rId543">
        <w:r>
          <w:rPr>
            <w:rStyle w:val="Hyperlink"/>
          </w:rPr>
          <w:t xml:space="preserve">The mint pipeline</w:t>
        </w:r>
      </w:hyperlink>
      <w:r>
        <w:t xml:space="preserve"> </w:t>
      </w:r>
      <w:r>
        <w:t xml:space="preserve">for analyzing methylation and hydroxymethylation data.</w:t>
      </w:r>
    </w:p>
    <w:p>
      <w:pPr>
        <w:numPr>
          <w:ilvl w:val="0"/>
          <w:numId w:val="1106"/>
        </w:numPr>
        <w:pStyle w:val="Compact"/>
      </w:pPr>
      <w:hyperlink r:id="rId544">
        <w:r>
          <w:rPr>
            <w:rStyle w:val="Hyperlink"/>
          </w:rPr>
          <w:t xml:space="preserve">Book chapter about finding methylation regions of interest</w:t>
        </w:r>
      </w:hyperlink>
    </w:p>
    <w:bookmarkEnd w:id="545"/>
    <w:bookmarkEnd w:id="546"/>
    <w:bookmarkStart w:id="580"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107"/>
        </w:numPr>
        <w:pStyle w:val="Compact"/>
      </w:pPr>
      <w:hyperlink w:anchor="archs4">
        <w:r>
          <w:rPr>
            <w:rStyle w:val="Hyperlink"/>
          </w:rPr>
          <w:t xml:space="preserve">ARCHS4</w:t>
        </w:r>
      </w:hyperlink>
    </w:p>
    <w:p>
      <w:pPr>
        <w:numPr>
          <w:ilvl w:val="0"/>
          <w:numId w:val="1107"/>
        </w:numPr>
        <w:pStyle w:val="Compact"/>
      </w:pPr>
      <w:hyperlink w:anchor="bioconductor">
        <w:r>
          <w:rPr>
            <w:rStyle w:val="Hyperlink"/>
          </w:rPr>
          <w:t xml:space="preserve">Bioconductor</w:t>
        </w:r>
      </w:hyperlink>
    </w:p>
    <w:p>
      <w:pPr>
        <w:numPr>
          <w:ilvl w:val="1"/>
          <w:numId w:val="1108"/>
        </w:numPr>
        <w:pStyle w:val="Compact"/>
      </w:pPr>
      <w:hyperlink w:anchor="notable-bioconductor-genomics-tools-">
        <w:r>
          <w:rPr>
            <w:rStyle w:val="Hyperlink"/>
          </w:rPr>
          <w:t xml:space="preserve">Notable Bioconductor genomics tools:</w:t>
        </w:r>
      </w:hyperlink>
    </w:p>
    <w:p>
      <w:pPr>
        <w:numPr>
          <w:ilvl w:val="0"/>
          <w:numId w:val="1107"/>
        </w:numPr>
        <w:pStyle w:val="Compact"/>
      </w:pPr>
      <w:hyperlink w:anchor="cancer-models">
        <w:r>
          <w:rPr>
            <w:rStyle w:val="Hyperlink"/>
          </w:rPr>
          <w:t xml:space="preserve">Cancer Models</w:t>
        </w:r>
      </w:hyperlink>
    </w:p>
    <w:p>
      <w:pPr>
        <w:numPr>
          <w:ilvl w:val="0"/>
          <w:numId w:val="1107"/>
        </w:numPr>
        <w:pStyle w:val="Compact"/>
      </w:pPr>
      <w:hyperlink w:anchor="civic">
        <w:r>
          <w:rPr>
            <w:rStyle w:val="Hyperlink"/>
          </w:rPr>
          <w:t xml:space="preserve">CIViC</w:t>
        </w:r>
      </w:hyperlink>
    </w:p>
    <w:p>
      <w:pPr>
        <w:numPr>
          <w:ilvl w:val="0"/>
          <w:numId w:val="1107"/>
        </w:numPr>
        <w:pStyle w:val="Compact"/>
      </w:pPr>
      <w:hyperlink w:anchor="ctat">
        <w:r>
          <w:rPr>
            <w:rStyle w:val="Hyperlink"/>
          </w:rPr>
          <w:t xml:space="preserve">CTAT</w:t>
        </w:r>
      </w:hyperlink>
    </w:p>
    <w:p>
      <w:pPr>
        <w:numPr>
          <w:ilvl w:val="0"/>
          <w:numId w:val="1107"/>
        </w:numPr>
        <w:pStyle w:val="Compact"/>
      </w:pPr>
      <w:hyperlink w:anchor="deepphe">
        <w:r>
          <w:rPr>
            <w:rStyle w:val="Hyperlink"/>
          </w:rPr>
          <w:t xml:space="preserve">DeepPhe</w:t>
        </w:r>
      </w:hyperlink>
    </w:p>
    <w:p>
      <w:pPr>
        <w:numPr>
          <w:ilvl w:val="0"/>
          <w:numId w:val="1107"/>
        </w:numPr>
        <w:pStyle w:val="Compact"/>
      </w:pPr>
      <w:hyperlink w:anchor="genetic-cancer-risk-detector--garde-">
        <w:r>
          <w:rPr>
            <w:rStyle w:val="Hyperlink"/>
          </w:rPr>
          <w:t xml:space="preserve">Genetic Cancer Risk Detector (GARDE)</w:t>
        </w:r>
      </w:hyperlink>
    </w:p>
    <w:p>
      <w:pPr>
        <w:numPr>
          <w:ilvl w:val="0"/>
          <w:numId w:val="1107"/>
        </w:numPr>
        <w:pStyle w:val="Compact"/>
      </w:pPr>
      <w:hyperlink w:anchor="genepattern">
        <w:r>
          <w:rPr>
            <w:rStyle w:val="Hyperlink"/>
          </w:rPr>
          <w:t xml:space="preserve">GenePattern</w:t>
        </w:r>
      </w:hyperlink>
    </w:p>
    <w:p>
      <w:pPr>
        <w:numPr>
          <w:ilvl w:val="0"/>
          <w:numId w:val="1107"/>
        </w:numPr>
        <w:pStyle w:val="Compact"/>
      </w:pPr>
      <w:hyperlink w:anchor="gene-set-enrichment-analysis--gsea-">
        <w:r>
          <w:rPr>
            <w:rStyle w:val="Hyperlink"/>
          </w:rPr>
          <w:t xml:space="preserve">Gene Set Enrichment Analysis (GSEA)</w:t>
        </w:r>
      </w:hyperlink>
    </w:p>
    <w:p>
      <w:pPr>
        <w:numPr>
          <w:ilvl w:val="0"/>
          <w:numId w:val="1107"/>
        </w:numPr>
        <w:pStyle w:val="Compact"/>
      </w:pPr>
      <w:hyperlink w:anchor="integrative-genomics-viewer--igv-">
        <w:r>
          <w:rPr>
            <w:rStyle w:val="Hyperlink"/>
          </w:rPr>
          <w:t xml:space="preserve">Integrative Genomics Viewer (IGV)</w:t>
        </w:r>
      </w:hyperlink>
    </w:p>
    <w:p>
      <w:pPr>
        <w:numPr>
          <w:ilvl w:val="0"/>
          <w:numId w:val="1107"/>
        </w:numPr>
        <w:pStyle w:val="Compact"/>
      </w:pPr>
      <w:hyperlink w:anchor="ndex">
        <w:r>
          <w:rPr>
            <w:rStyle w:val="Hyperlink"/>
          </w:rPr>
          <w:t xml:space="preserve">NDEx</w:t>
        </w:r>
      </w:hyperlink>
    </w:p>
    <w:p>
      <w:pPr>
        <w:numPr>
          <w:ilvl w:val="0"/>
          <w:numId w:val="1107"/>
        </w:numPr>
        <w:pStyle w:val="Compact"/>
      </w:pPr>
      <w:hyperlink w:anchor="multiassayexperiment">
        <w:r>
          <w:rPr>
            <w:rStyle w:val="Hyperlink"/>
          </w:rPr>
          <w:t xml:space="preserve">MultiAssayExperiment</w:t>
        </w:r>
      </w:hyperlink>
    </w:p>
    <w:p>
      <w:pPr>
        <w:numPr>
          <w:ilvl w:val="0"/>
          <w:numId w:val="1107"/>
        </w:numPr>
        <w:pStyle w:val="Compact"/>
      </w:pPr>
      <w:hyperlink w:anchor="opencravat">
        <w:r>
          <w:rPr>
            <w:rStyle w:val="Hyperlink"/>
          </w:rPr>
          <w:t xml:space="preserve">OpenCRAVAT</w:t>
        </w:r>
      </w:hyperlink>
    </w:p>
    <w:p>
      <w:pPr>
        <w:numPr>
          <w:ilvl w:val="0"/>
          <w:numId w:val="1107"/>
        </w:numPr>
        <w:pStyle w:val="Compact"/>
      </w:pPr>
      <w:hyperlink w:anchor="pvactools">
        <w:r>
          <w:rPr>
            <w:rStyle w:val="Hyperlink"/>
          </w:rPr>
          <w:t xml:space="preserve">pVACtools</w:t>
        </w:r>
      </w:hyperlink>
    </w:p>
    <w:p>
      <w:pPr>
        <w:numPr>
          <w:ilvl w:val="0"/>
          <w:numId w:val="1107"/>
        </w:numPr>
        <w:pStyle w:val="Compact"/>
      </w:pPr>
      <w:hyperlink w:anchor="tumordecon">
        <w:r>
          <w:rPr>
            <w:rStyle w:val="Hyperlink"/>
          </w:rPr>
          <w:t xml:space="preserve">TumorDecon</w:t>
        </w:r>
      </w:hyperlink>
    </w:p>
    <w:p>
      <w:pPr>
        <w:numPr>
          <w:ilvl w:val="0"/>
          <w:numId w:val="1107"/>
        </w:numPr>
        <w:pStyle w:val="Compact"/>
      </w:pPr>
      <w:hyperlink w:anchor="webmev">
        <w:r>
          <w:rPr>
            <w:rStyle w:val="Hyperlink"/>
          </w:rPr>
          <w:t xml:space="preserve">WebMeV</w:t>
        </w:r>
      </w:hyperlink>
    </w:p>
    <w:p>
      <w:pPr>
        <w:numPr>
          <w:ilvl w:val="0"/>
          <w:numId w:val="1107"/>
        </w:numPr>
        <w:pStyle w:val="Compact"/>
      </w:pPr>
      <w:hyperlink w:anchor="xena">
        <w:r>
          <w:rPr>
            <w:rStyle w:val="Hyperlink"/>
          </w:rPr>
          <w:t xml:space="preserve">Xena</w:t>
        </w:r>
      </w:hyperlink>
    </w:p>
    <w:bookmarkStart w:id="547"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47"/>
    <w:bookmarkStart w:id="554"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53" w:name="notable-bioconductor-genomics-tools"/>
    <w:p>
      <w:pPr>
        <w:pStyle w:val="Heading3"/>
      </w:pPr>
      <w:r>
        <w:rPr>
          <w:rStyle w:val="SectionNumber"/>
        </w:rPr>
        <w:t xml:space="preserve">17.2.1</w:t>
      </w:r>
      <w:r>
        <w:tab/>
      </w:r>
      <w:r>
        <w:t xml:space="preserve">Notable Bioconductor genomics tools:</w:t>
      </w:r>
    </w:p>
    <w:p>
      <w:pPr>
        <w:numPr>
          <w:ilvl w:val="0"/>
          <w:numId w:val="1109"/>
        </w:numPr>
      </w:pPr>
      <w:hyperlink r:id="rId266">
        <w:r>
          <w:rPr>
            <w:rStyle w:val="Hyperlink"/>
          </w:rPr>
          <w:t xml:space="preserve">annotatr</w:t>
        </w:r>
      </w:hyperlink>
    </w:p>
    <w:p>
      <w:pPr>
        <w:numPr>
          <w:ilvl w:val="0"/>
          <w:numId w:val="1109"/>
        </w:numPr>
      </w:pPr>
      <w:hyperlink r:id="rId267">
        <w:r>
          <w:rPr>
            <w:rStyle w:val="Hyperlink"/>
          </w:rPr>
          <w:t xml:space="preserve">ensembldb</w:t>
        </w:r>
      </w:hyperlink>
    </w:p>
    <w:p>
      <w:pPr>
        <w:numPr>
          <w:ilvl w:val="0"/>
          <w:numId w:val="1109"/>
        </w:numPr>
      </w:pPr>
      <w:hyperlink r:id="rId268">
        <w:r>
          <w:rPr>
            <w:rStyle w:val="Hyperlink"/>
          </w:rPr>
          <w:t xml:space="preserve">GenomicRanges</w:t>
        </w:r>
      </w:hyperlink>
      <w:r>
        <w:t xml:space="preserve"> </w:t>
      </w:r>
      <w:r>
        <w:t xml:space="preserve">- useful for manipulating and identifying sequences.</w:t>
      </w:r>
    </w:p>
    <w:p>
      <w:pPr>
        <w:numPr>
          <w:ilvl w:val="0"/>
          <w:numId w:val="1109"/>
        </w:numPr>
      </w:pPr>
      <w:hyperlink r:id="rId269">
        <w:r>
          <w:rPr>
            <w:rStyle w:val="Hyperlink"/>
          </w:rPr>
          <w:t xml:space="preserve">GO.db</w:t>
        </w:r>
      </w:hyperlink>
      <w:r>
        <w:t xml:space="preserve"> </w:t>
      </w:r>
      <w:r>
        <w:t xml:space="preserve">- Gene ontology annotation</w:t>
      </w:r>
    </w:p>
    <w:p>
      <w:pPr>
        <w:numPr>
          <w:ilvl w:val="0"/>
          <w:numId w:val="1109"/>
        </w:numPr>
      </w:pPr>
      <w:hyperlink r:id="rId270">
        <w:r>
          <w:rPr>
            <w:rStyle w:val="Hyperlink"/>
          </w:rPr>
          <w:t xml:space="preserve">org.Hs.eg.db</w:t>
        </w:r>
      </w:hyperlink>
    </w:p>
    <w:p>
      <w:pPr>
        <w:numPr>
          <w:ilvl w:val="0"/>
          <w:numId w:val="1109"/>
        </w:numPr>
      </w:pPr>
      <w:hyperlink r:id="rId271">
        <w:r>
          <w:rPr>
            <w:rStyle w:val="Hyperlink"/>
          </w:rPr>
          <w:t xml:space="preserve">RSamtools</w:t>
        </w:r>
      </w:hyperlink>
    </w:p>
    <w:p>
      <w:pPr>
        <w:numPr>
          <w:ilvl w:val="0"/>
          <w:numId w:val="1109"/>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09"/>
        </w:numPr>
      </w:pPr>
      <w:hyperlink r:id="rId392">
        <w:r>
          <w:rPr>
            <w:rStyle w:val="Hyperlink"/>
          </w:rPr>
          <w:t xml:space="preserve">ComplexHeatmap</w:t>
        </w:r>
      </w:hyperlink>
    </w:p>
    <w:p>
      <w:pPr>
        <w:numPr>
          <w:ilvl w:val="0"/>
          <w:numId w:val="1109"/>
        </w:numPr>
      </w:pPr>
      <w:hyperlink r:id="rId548">
        <w:r>
          <w:rPr>
            <w:rStyle w:val="Hyperlink"/>
          </w:rPr>
          <w:t xml:space="preserve">MultiAssayExperiment</w:t>
        </w:r>
      </w:hyperlink>
    </w:p>
    <w:p>
      <w:pPr>
        <w:numPr>
          <w:ilvl w:val="0"/>
          <w:numId w:val="1109"/>
        </w:numPr>
      </w:pPr>
      <w:hyperlink r:id="rId549">
        <w:r>
          <w:rPr>
            <w:rStyle w:val="Hyperlink"/>
          </w:rPr>
          <w:t xml:space="preserve">limma</w:t>
        </w:r>
      </w:hyperlink>
    </w:p>
    <w:p>
      <w:pPr>
        <w:numPr>
          <w:ilvl w:val="0"/>
          <w:numId w:val="1109"/>
        </w:numPr>
      </w:pPr>
      <w:hyperlink r:id="rId393">
        <w:r>
          <w:rPr>
            <w:rStyle w:val="Hyperlink"/>
          </w:rPr>
          <w:t xml:space="preserve">DESEq2</w:t>
        </w:r>
      </w:hyperlink>
    </w:p>
    <w:p>
      <w:pPr>
        <w:numPr>
          <w:ilvl w:val="0"/>
          <w:numId w:val="1109"/>
        </w:numPr>
      </w:pPr>
      <w:hyperlink r:id="rId394">
        <w:r>
          <w:rPr>
            <w:rStyle w:val="Hyperlink"/>
          </w:rPr>
          <w:t xml:space="preserve">edgeR</w:t>
        </w:r>
      </w:hyperlink>
    </w:p>
    <w:p>
      <w:pPr>
        <w:numPr>
          <w:ilvl w:val="0"/>
          <w:numId w:val="1109"/>
        </w:numPr>
      </w:pPr>
      <w:hyperlink r:id="rId550">
        <w:r>
          <w:rPr>
            <w:rStyle w:val="Hyperlink"/>
          </w:rPr>
          <w:t xml:space="preserve">curatedTCGAData</w:t>
        </w:r>
      </w:hyperlink>
    </w:p>
    <w:p>
      <w:pPr>
        <w:numPr>
          <w:ilvl w:val="0"/>
          <w:numId w:val="1109"/>
        </w:numPr>
      </w:pPr>
      <w:hyperlink r:id="rId551">
        <w:r>
          <w:rPr>
            <w:rStyle w:val="Hyperlink"/>
          </w:rPr>
          <w:t xml:space="preserve">cBioPortalData</w:t>
        </w:r>
      </w:hyperlink>
    </w:p>
    <w:p>
      <w:pPr>
        <w:numPr>
          <w:ilvl w:val="0"/>
          <w:numId w:val="1109"/>
        </w:numPr>
      </w:pPr>
      <w:hyperlink r:id="rId552">
        <w:r>
          <w:rPr>
            <w:rStyle w:val="Hyperlink"/>
          </w:rPr>
          <w:t xml:space="preserve">SingleCellMultiModal</w:t>
        </w:r>
      </w:hyperlink>
    </w:p>
    <w:bookmarkEnd w:id="553"/>
    <w:bookmarkEnd w:id="554"/>
    <w:bookmarkStart w:id="555"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55"/>
    <w:bookmarkStart w:id="557" w:name="civic"/>
    <w:p>
      <w:pPr>
        <w:pStyle w:val="Heading2"/>
      </w:pPr>
      <w:r>
        <w:rPr>
          <w:rStyle w:val="SectionNumber"/>
        </w:rPr>
        <w:t xml:space="preserve">17.4</w:t>
      </w:r>
      <w:r>
        <w:tab/>
      </w:r>
      <w:r>
        <w:t xml:space="preserve">CIViC</w:t>
      </w:r>
    </w:p>
    <w:p>
      <w:pPr>
        <w:pStyle w:val="FirstParagraph"/>
      </w:pPr>
      <w:hyperlink r:id="rId556">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57"/>
    <w:bookmarkStart w:id="558"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58"/>
    <w:bookmarkStart w:id="560" w:name="deepphe"/>
    <w:p>
      <w:pPr>
        <w:pStyle w:val="Heading2"/>
      </w:pPr>
      <w:r>
        <w:rPr>
          <w:rStyle w:val="SectionNumber"/>
        </w:rPr>
        <w:t xml:space="preserve">17.6</w:t>
      </w:r>
      <w:r>
        <w:tab/>
      </w:r>
      <w:r>
        <w:t xml:space="preserve">DeepPhe</w:t>
      </w:r>
    </w:p>
    <w:p>
      <w:pPr>
        <w:pStyle w:val="FirstParagraph"/>
      </w:pPr>
      <w:hyperlink r:id="rId559">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10"/>
        </w:numPr>
        <w:pStyle w:val="Compact"/>
      </w:pPr>
      <w:r>
        <w:t xml:space="preserve">multiple natural language processing (NLP) techniques based on cTAKES,1</w:t>
      </w:r>
      <w:r>
        <w:br/>
      </w:r>
    </w:p>
    <w:p>
      <w:pPr>
        <w:numPr>
          <w:ilvl w:val="0"/>
          <w:numId w:val="1110"/>
        </w:numPr>
        <w:pStyle w:val="Compact"/>
      </w:pPr>
      <w:r>
        <w:t xml:space="preserve">a structured cancer information model including concepts from the NCIT and the HemOnc ontology</w:t>
      </w:r>
    </w:p>
    <w:p>
      <w:pPr>
        <w:numPr>
          <w:ilvl w:val="0"/>
          <w:numId w:val="111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1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1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59">
        <w:r>
          <w:rPr>
            <w:rStyle w:val="Hyperlink"/>
          </w:rPr>
          <w:t xml:space="preserve">DeepPhe website</w:t>
        </w:r>
      </w:hyperlink>
      <w:r>
        <w:t xml:space="preserve"> </w:t>
      </w:r>
      <w:r>
        <w:t xml:space="preserve">under an open-source license for non-commercial use.</w:t>
      </w:r>
    </w:p>
    <w:bookmarkEnd w:id="560"/>
    <w:bookmarkStart w:id="562" w:name="genetic-cancer-risk-detector-garde"/>
    <w:p>
      <w:pPr>
        <w:pStyle w:val="Heading2"/>
      </w:pPr>
      <w:r>
        <w:rPr>
          <w:rStyle w:val="SectionNumber"/>
        </w:rPr>
        <w:t xml:space="preserve">17.7</w:t>
      </w:r>
      <w:r>
        <w:tab/>
      </w:r>
      <w:r>
        <w:t xml:space="preserve">Genetic Cancer Risk Detector (GARDE)</w:t>
      </w:r>
    </w:p>
    <w:p>
      <w:pPr>
        <w:pStyle w:val="FirstParagraph"/>
      </w:pPr>
      <w:hyperlink r:id="rId561">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62"/>
    <w:bookmarkStart w:id="563"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63"/>
    <w:bookmarkStart w:id="564"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64"/>
    <w:bookmarkStart w:id="567"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65">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66">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67"/>
    <w:bookmarkStart w:id="568"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68"/>
    <w:bookmarkStart w:id="569" w:name="multiassayexperiment"/>
    <w:p>
      <w:pPr>
        <w:pStyle w:val="Heading2"/>
      </w:pPr>
      <w:r>
        <w:rPr>
          <w:rStyle w:val="SectionNumber"/>
        </w:rPr>
        <w:t xml:space="preserve">17.12</w:t>
      </w:r>
      <w:r>
        <w:tab/>
      </w:r>
      <w:r>
        <w:t xml:space="preserve">MultiAssayExperiment</w:t>
      </w:r>
    </w:p>
    <w:p>
      <w:pPr>
        <w:pStyle w:val="FirstParagraph"/>
      </w:pPr>
      <w:hyperlink r:id="rId548">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50">
        <w:r>
          <w:rPr>
            <w:rStyle w:val="Hyperlink"/>
          </w:rPr>
          <w:t xml:space="preserve">curatedTCGAData</w:t>
        </w:r>
      </w:hyperlink>
      <w:r>
        <w:t xml:space="preserve">,</w:t>
      </w:r>
      <w:r>
        <w:t xml:space="preserve"> </w:t>
      </w:r>
      <w:hyperlink r:id="rId551">
        <w:r>
          <w:rPr>
            <w:rStyle w:val="Hyperlink"/>
          </w:rPr>
          <w:t xml:space="preserve">cBioPortalData</w:t>
        </w:r>
      </w:hyperlink>
      <w:r>
        <w:t xml:space="preserve">, or</w:t>
      </w:r>
      <w:r>
        <w:t xml:space="preserve"> </w:t>
      </w:r>
      <w:hyperlink r:id="rId552">
        <w:r>
          <w:rPr>
            <w:rStyle w:val="Hyperlink"/>
          </w:rPr>
          <w:t xml:space="preserve">SingleCellMultiModal</w:t>
        </w:r>
      </w:hyperlink>
      <w:r>
        <w:t xml:space="preserve">.</w:t>
      </w:r>
    </w:p>
    <w:bookmarkEnd w:id="569"/>
    <w:bookmarkStart w:id="571"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70">
        <w:r>
          <w:rPr>
            <w:rStyle w:val="Hyperlink"/>
          </w:rPr>
          <w:t xml:space="preserve">https://run.opencravat.org/webapps/variantreport/index.html?chrom=chr11&amp;pos=48123823&amp;ref_base=A&amp;alt_base=C</w:t>
        </w:r>
      </w:hyperlink>
      <w:r>
        <w:t xml:space="preserve"> </w:t>
      </w:r>
      <w:r>
        <w:t xml:space="preserve">)</w:t>
      </w:r>
    </w:p>
    <w:bookmarkEnd w:id="571"/>
    <w:bookmarkStart w:id="572"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72"/>
    <w:bookmarkStart w:id="574"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5">
        <w:r>
          <w:rPr>
            <w:rStyle w:val="Hyperlink"/>
          </w:rPr>
          <w:t xml:space="preserve">https://people.math.umass.edu/~aronow/TumorDecon</w:t>
        </w:r>
      </w:hyperlink>
    </w:p>
    <w:p>
      <w:pPr>
        <w:pStyle w:val="BodyText"/>
      </w:pPr>
      <w:r>
        <w:t xml:space="preserve">TumorDecon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73">
        <w:r>
          <w:rPr>
            <w:rStyle w:val="Hyperlink"/>
          </w:rPr>
          <w:t xml:space="preserve">https://doi.org/10.1016/j.softx.2022.101072</w:t>
        </w:r>
      </w:hyperlink>
      <w:r>
        <w:t xml:space="preserve">.</w:t>
      </w:r>
    </w:p>
    <w:bookmarkEnd w:id="574"/>
    <w:bookmarkStart w:id="575"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75"/>
    <w:bookmarkStart w:id="579"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78" w:name="X2903c352b7590b5af316fcaa0f564817eec5c92"/>
    <w:p>
      <w:pPr>
        <w:pStyle w:val="Heading3"/>
      </w:pPr>
      <w:r>
        <w:rPr>
          <w:rStyle w:val="SectionNumber"/>
        </w:rPr>
        <w:t xml:space="preserve">17.17.1</w:t>
      </w:r>
      <w:r>
        <w:tab/>
      </w:r>
      <w:r>
        <w:t xml:space="preserve">Questions Xena can help you answer include:</w:t>
      </w:r>
    </w:p>
    <w:p>
      <w:pPr>
        <w:numPr>
          <w:ilvl w:val="0"/>
          <w:numId w:val="1111"/>
        </w:numPr>
        <w:pStyle w:val="Compact"/>
      </w:pPr>
      <w:r>
        <w:t xml:space="preserve">Is overexpression of this gene associated with better survival?</w:t>
      </w:r>
    </w:p>
    <w:p>
      <w:pPr>
        <w:numPr>
          <w:ilvl w:val="0"/>
          <w:numId w:val="1111"/>
        </w:numPr>
        <w:pStyle w:val="Compact"/>
      </w:pPr>
      <w:r>
        <w:t xml:space="preserve">What genes are differentially expressed between these two groups of samples?</w:t>
      </w:r>
    </w:p>
    <w:p>
      <w:pPr>
        <w:numPr>
          <w:ilvl w:val="0"/>
          <w:numId w:val="111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76">
        <w:r>
          <w:rPr>
            <w:rStyle w:val="Hyperlink"/>
          </w:rPr>
          <w:t xml:space="preserve">https://ucsc-xena.gitbook.io/project/tutorials</w:t>
        </w:r>
      </w:hyperlink>
      <w:r>
        <w:t xml:space="preserve">. If you use us please cite us:</w:t>
      </w:r>
      <w:r>
        <w:t xml:space="preserve"> </w:t>
      </w:r>
      <w:hyperlink r:id="rId577">
        <w:r>
          <w:rPr>
            <w:rStyle w:val="Hyperlink"/>
          </w:rPr>
          <w:t xml:space="preserve">https://www.nature.com/articles/s41587-020-0546-8</w:t>
        </w:r>
      </w:hyperlink>
    </w:p>
    <w:bookmarkEnd w:id="578"/>
    <w:bookmarkEnd w:id="579"/>
    <w:bookmarkEnd w:id="580"/>
    <w:bookmarkStart w:id="590" w:name="about-the-authors"/>
    <w:p>
      <w:pPr>
        <w:pStyle w:val="Heading1"/>
      </w:pPr>
      <w:r>
        <w:t xml:space="preserve">About the Authors</w:t>
      </w:r>
    </w:p>
    <w:p>
      <w:pPr>
        <w:pStyle w:val="FirstParagraph"/>
      </w:pPr>
      <w:r>
        <w:t xml:space="preserve">These credits are based on our</w:t>
      </w:r>
      <w:r>
        <w:t xml:space="preserve"> </w:t>
      </w:r>
      <w:hyperlink r:id="rId5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82">
              <w:r>
                <w:rPr>
                  <w:rStyle w:val="Hyperlink"/>
                </w:rPr>
                <w:t xml:space="preserve">Candace Savonen</w:t>
              </w:r>
            </w:hyperlink>
          </w:p>
        </w:tc>
      </w:tr>
      <w:tr>
        <w:tc>
          <w:tcPr/>
          <w:p>
            <w:pPr>
              <w:pStyle w:val="Compact"/>
              <w:jc w:val="left"/>
            </w:pPr>
            <w:r>
              <w:t xml:space="preserve">Lecturer(s)</w:t>
            </w:r>
          </w:p>
        </w:tc>
        <w:tc>
          <w:tcPr/>
          <w:p>
            <w:pPr>
              <w:pStyle w:val="Compact"/>
              <w:jc w:val="left"/>
            </w:pPr>
            <w:hyperlink r:id="rId582">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83">
              <w:r>
                <w:rPr>
                  <w:rStyle w:val="Hyperlink"/>
                </w:rPr>
                <w:t xml:space="preserve">Carrie Wright</w:t>
              </w:r>
            </w:hyperlink>
            <w:r>
              <w:t xml:space="preserve"> </w:t>
            </w:r>
            <w:hyperlink r:id="rId584">
              <w:r>
                <w:rPr>
                  <w:rStyle w:val="Hyperlink"/>
                </w:rPr>
                <w:t xml:space="preserve">Claire Mills</w:t>
              </w:r>
            </w:hyperlink>
            <w:r>
              <w:t xml:space="preserve"> </w:t>
            </w:r>
            <w:r>
              <w:t xml:space="preserve">- Whole Genome Sequencing</w:t>
            </w:r>
            <w:r>
              <w:t xml:space="preserve"> </w:t>
            </w:r>
            <w:hyperlink r:id="rId585">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86">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83">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82">
              <w:r>
                <w:rPr>
                  <w:rStyle w:val="Hyperlink"/>
                </w:rPr>
                <w:t xml:space="preserve">Candace Savonen</w:t>
              </w:r>
            </w:hyperlink>
            <w:r>
              <w:t xml:space="preserve">,</w:t>
            </w:r>
            <w:r>
              <w:t xml:space="preserve"> </w:t>
            </w:r>
            <w:hyperlink r:id="rId583">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3">
              <w:r>
                <w:rPr>
                  <w:rStyle w:val="Hyperlink"/>
                </w:rPr>
                <w:t xml:space="preserve">Carrie Wright</w:t>
              </w:r>
            </w:hyperlink>
            <w:r>
              <w:t xml:space="preserve">,</w:t>
            </w:r>
            <w:r>
              <w:t xml:space="preserve"> </w:t>
            </w:r>
            <w:hyperlink r:id="rId582">
              <w:r>
                <w:rPr>
                  <w:rStyle w:val="Hyperlink"/>
                </w:rPr>
                <w:t xml:space="preserve">Candace Savonen</w:t>
              </w:r>
            </w:hyperlink>
          </w:p>
        </w:tc>
      </w:tr>
      <w:tr>
        <w:tc>
          <w:tcPr/>
          <w:p>
            <w:pPr>
              <w:pStyle w:val="Compact"/>
              <w:jc w:val="left"/>
            </w:pPr>
            <w:r>
              <w:t xml:space="preserve">Package Developers (</w:t>
            </w:r>
            <w:hyperlink r:id="rId588">
              <w:r>
                <w:rPr>
                  <w:rStyle w:val="Hyperlink"/>
                </w:rPr>
                <w:t xml:space="preserve">ottrpal</w:t>
              </w:r>
            </w:hyperlink>
            <w:r>
              <w:t xml:space="preserve">)</w:t>
            </w:r>
            <w:hyperlink r:id="rId582">
              <w:r>
                <w:rPr>
                  <w:rStyle w:val="Hyperlink"/>
                </w:rPr>
                <w:t xml:space="preserve">Candace Savonen</w:t>
              </w:r>
            </w:hyperlink>
            <w:r>
              <w:t xml:space="preserve">,</w:t>
            </w:r>
            <w:r>
              <w:t xml:space="preserve"> </w:t>
            </w:r>
            <w:hyperlink r:id="rId589">
              <w:r>
                <w:rPr>
                  <w:rStyle w:val="Hyperlink"/>
                </w:rPr>
                <w:t xml:space="preserve">John Muschelli</w:t>
              </w:r>
            </w:hyperlink>
            <w:r>
              <w:t xml:space="preserve">,</w:t>
            </w:r>
            <w:r>
              <w:t xml:space="preserve"> </w:t>
            </w:r>
            <w:hyperlink r:id="rId58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82">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82">
              <w:r>
                <w:rPr>
                  <w:rStyle w:val="Hyperlink"/>
                </w:rPr>
                <w:t xml:space="preserve">Candace Savonen</w:t>
              </w:r>
            </w:hyperlink>
            <w:r>
              <w:t xml:space="preserve"> </w:t>
            </w:r>
            <w:r>
              <w:t xml:space="preserve">and</w:t>
            </w:r>
            <w:r>
              <w:t xml:space="preserve"> </w:t>
            </w:r>
            <w:hyperlink r:id="rId584">
              <w:r>
                <w:rPr>
                  <w:rStyle w:val="Hyperlink"/>
                </w:rPr>
                <w:t xml:space="preserve">Claire Mills</w:t>
              </w:r>
            </w:hyperlink>
          </w:p>
        </w:tc>
      </w:tr>
      <w:tr>
        <w:tc>
          <w:tcPr/>
          <w:p>
            <w:pPr>
              <w:pStyle w:val="Compact"/>
              <w:jc w:val="left"/>
            </w:pPr>
            <w:r>
              <w:t xml:space="preserve">Videographer</w:t>
            </w:r>
          </w:p>
        </w:tc>
        <w:tc>
          <w:tcPr/>
          <w:p>
            <w:pPr>
              <w:pStyle w:val="Compact"/>
              <w:jc w:val="left"/>
            </w:pPr>
            <w:hyperlink r:id="rId582">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82">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2023-05-24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90"/>
    <w:bookmarkStart w:id="667" w:name="references"/>
    <w:p>
      <w:pPr>
        <w:pStyle w:val="Heading1"/>
      </w:pPr>
      <w:r>
        <w:t xml:space="preserve">References</w:t>
      </w:r>
    </w:p>
    <w:bookmarkStart w:id="666" w:name="refs"/>
    <w:bookmarkStart w:id="592"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591">
        <w:r>
          <w:rPr>
            <w:rStyle w:val="Hyperlink"/>
          </w:rPr>
          <w:t xml:space="preserve">https://genomebiology.biomedcentral.com/articles/10.1186/gb-2012-13-10-r87</w:t>
        </w:r>
      </w:hyperlink>
      <w:r>
        <w:t xml:space="preserve">.</w:t>
      </w:r>
    </w:p>
    <w:bookmarkEnd w:id="592"/>
    <w:bookmarkStart w:id="594" w:name="ref-AlexsLemonade2022"/>
    <w:p>
      <w:pPr>
        <w:pStyle w:val="Bibliography"/>
      </w:pPr>
      <w:r>
        <w:t xml:space="preserve">“Alex’s Lemonade Training Modules.”</w:t>
      </w:r>
      <w:r>
        <w:t xml:space="preserve"> </w:t>
      </w:r>
      <w:r>
        <w:t xml:space="preserve">2022.</w:t>
      </w:r>
      <w:r>
        <w:t xml:space="preserve"> </w:t>
      </w:r>
      <w:hyperlink r:id="rId593">
        <w:r>
          <w:rPr>
            <w:rStyle w:val="Hyperlink"/>
          </w:rPr>
          <w:t xml:space="preserve">https://github.com/AlexsLemonade/training-modules</w:t>
        </w:r>
      </w:hyperlink>
      <w:r>
        <w:t xml:space="preserve">.</w:t>
      </w:r>
    </w:p>
    <w:bookmarkEnd w:id="594"/>
    <w:bookmarkStart w:id="596" w:name="ref-refinebioexamples2019"/>
    <w:p>
      <w:pPr>
        <w:pStyle w:val="Bibliography"/>
      </w:pPr>
      <w:r>
        <w:t xml:space="preserve">ALSF, CCDL for. 2019.</w:t>
      </w:r>
      <w:r>
        <w:t xml:space="preserve"> </w:t>
      </w:r>
      <w:r>
        <w:t xml:space="preserve">“Introduction to Microarray Data.”</w:t>
      </w:r>
      <w:r>
        <w:t xml:space="preserve"> </w:t>
      </w:r>
      <w:hyperlink r:id="rId595">
        <w:r>
          <w:rPr>
            <w:rStyle w:val="Hyperlink"/>
          </w:rPr>
          <w:t xml:space="preserve">https://alexslemonade.github.io/refinebio-examples/02-microarray/00-intro-to-microarray.html</w:t>
        </w:r>
      </w:hyperlink>
      <w:r>
        <w:t xml:space="preserve">.</w:t>
      </w:r>
    </w:p>
    <w:bookmarkEnd w:id="596"/>
    <w:bookmarkStart w:id="597"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597"/>
    <w:bookmarkStart w:id="599"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98">
        <w:r>
          <w:rPr>
            <w:rStyle w:val="Hyperlink"/>
          </w:rPr>
          <w:t xml:space="preserve">https://doi.org/10.1016/j.coisb.2017.07.004</w:t>
        </w:r>
      </w:hyperlink>
      <w:r>
        <w:t xml:space="preserve">.</w:t>
      </w:r>
    </w:p>
    <w:bookmarkEnd w:id="599"/>
    <w:bookmarkStart w:id="600"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0">
        <w:r>
          <w:rPr>
            <w:rStyle w:val="Hyperlink"/>
          </w:rPr>
          <w:t xml:space="preserve">https://doi.org/10.1093/bfgp/elx035</w:t>
        </w:r>
      </w:hyperlink>
      <w:r>
        <w:t xml:space="preserve">.</w:t>
      </w:r>
    </w:p>
    <w:bookmarkEnd w:id="600"/>
    <w:bookmarkStart w:id="602"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601">
        <w:r>
          <w:rPr>
            <w:rStyle w:val="Hyperlink"/>
          </w:rPr>
          <w:t xml:space="preserve">https://doi.org/10.1038/nature07517</w:t>
        </w:r>
      </w:hyperlink>
      <w:r>
        <w:t xml:space="preserve">.</w:t>
      </w:r>
    </w:p>
    <w:bookmarkEnd w:id="602"/>
    <w:bookmarkStart w:id="60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603">
        <w:r>
          <w:rPr>
            <w:rStyle w:val="Hyperlink"/>
          </w:rPr>
          <w:t xml:space="preserve">https://doi.org/10.1016/j.csbj.2019.10.004</w:t>
        </w:r>
      </w:hyperlink>
      <w:r>
        <w:t xml:space="preserve">.</w:t>
      </w:r>
    </w:p>
    <w:bookmarkEnd w:id="604"/>
    <w:bookmarkStart w:id="60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605">
        <w:r>
          <w:rPr>
            <w:rStyle w:val="Hyperlink"/>
          </w:rPr>
          <w:t xml:space="preserve">https://doi.org/10.1038/nprot.2013.115</w:t>
        </w:r>
      </w:hyperlink>
      <w:r>
        <w:t xml:space="preserve">.</w:t>
      </w:r>
    </w:p>
    <w:bookmarkEnd w:id="606"/>
    <w:bookmarkStart w:id="60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607">
        <w:r>
          <w:rPr>
            <w:rStyle w:val="Hyperlink"/>
          </w:rPr>
          <w:t xml:space="preserve">https://www.nature.com/articles/nbt.3519</w:t>
        </w:r>
      </w:hyperlink>
      <w:r>
        <w:t xml:space="preserve">.</w:t>
      </w:r>
    </w:p>
    <w:bookmarkEnd w:id="608"/>
    <w:bookmarkStart w:id="61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609">
        <w:r>
          <w:rPr>
            <w:rStyle w:val="Hyperlink"/>
          </w:rPr>
          <w:t xml:space="preserve">https://doi.org/10.1101/2021.02.15.430948</w:t>
        </w:r>
      </w:hyperlink>
      <w:r>
        <w:t xml:space="preserve">.</w:t>
      </w:r>
    </w:p>
    <w:bookmarkEnd w:id="610"/>
    <w:bookmarkStart w:id="61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611">
        <w:r>
          <w:rPr>
            <w:rStyle w:val="Hyperlink"/>
          </w:rPr>
          <w:t xml:space="preserve">https://doi.org/10.1038/nbt.1975</w:t>
        </w:r>
      </w:hyperlink>
      <w:r>
        <w:t xml:space="preserve">.</w:t>
      </w:r>
    </w:p>
    <w:bookmarkEnd w:id="612"/>
    <w:bookmarkStart w:id="61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613">
        <w:r>
          <w:rPr>
            <w:rStyle w:val="Hyperlink"/>
          </w:rPr>
          <w:t xml:space="preserve">https://doi.org/10.1186/s13059-016-0881-8</w:t>
        </w:r>
      </w:hyperlink>
      <w:r>
        <w:t xml:space="preserve">.</w:t>
      </w:r>
    </w:p>
    <w:bookmarkEnd w:id="614"/>
    <w:bookmarkStart w:id="616"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615">
        <w:r>
          <w:rPr>
            <w:rStyle w:val="Hyperlink"/>
          </w:rPr>
          <w:t xml:space="preserve">https://www.sciencedirect.com/science/article/pii/S2211124719312860</w:t>
        </w:r>
      </w:hyperlink>
      <w:r>
        <w:t xml:space="preserve">.</w:t>
      </w:r>
    </w:p>
    <w:bookmarkEnd w:id="616"/>
    <w:bookmarkStart w:id="618"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617">
        <w:r>
          <w:rPr>
            <w:rStyle w:val="Hyperlink"/>
          </w:rPr>
          <w:t xml:space="preserve">https://academic.oup.com/bioinformatics/article/29/1/15/272537</w:t>
        </w:r>
      </w:hyperlink>
      <w:r>
        <w:t xml:space="preserve">.</w:t>
      </w:r>
    </w:p>
    <w:bookmarkEnd w:id="618"/>
    <w:bookmarkStart w:id="620"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619">
        <w:r>
          <w:rPr>
            <w:rStyle w:val="Hyperlink"/>
          </w:rPr>
          <w:t xml:space="preserve">https://pubmed.ncbi.nlm.nih.gov/26819470/</w:t>
        </w:r>
      </w:hyperlink>
      <w:r>
        <w:t xml:space="preserve">.</w:t>
      </w:r>
    </w:p>
    <w:bookmarkEnd w:id="620"/>
    <w:bookmarkStart w:id="621"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621"/>
    <w:bookmarkStart w:id="623"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622">
        <w:r>
          <w:rPr>
            <w:rStyle w:val="Hyperlink"/>
          </w:rPr>
          <w:t xml:space="preserve">https://doi.org/10.1093/bib/bbaa083</w:t>
        </w:r>
      </w:hyperlink>
      <w:r>
        <w:t xml:space="preserve">.</w:t>
      </w:r>
    </w:p>
    <w:bookmarkEnd w:id="623"/>
    <w:bookmarkStart w:id="625"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624">
        <w:r>
          <w:rPr>
            <w:rStyle w:val="Hyperlink"/>
          </w:rPr>
          <w:t xml:space="preserve">https://pubmed.ncbi.nlm.nih.gov/20513432/</w:t>
        </w:r>
      </w:hyperlink>
      <w:r>
        <w:t xml:space="preserve">.</w:t>
      </w:r>
    </w:p>
    <w:bookmarkEnd w:id="625"/>
    <w:bookmarkStart w:id="627"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626">
        <w:r>
          <w:rPr>
            <w:rStyle w:val="Hyperlink"/>
          </w:rPr>
          <w:t xml:space="preserve">https://doi.org/10.1038/s41598-019-39108-2</w:t>
        </w:r>
      </w:hyperlink>
      <w:r>
        <w:t xml:space="preserve">.</w:t>
      </w:r>
    </w:p>
    <w:bookmarkEnd w:id="627"/>
    <w:bookmarkStart w:id="629"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628">
        <w:r>
          <w:rPr>
            <w:rStyle w:val="Hyperlink"/>
          </w:rPr>
          <w:t xml:space="preserve">https://www.nature.com/articles/nmeth.3317</w:t>
        </w:r>
      </w:hyperlink>
      <w:r>
        <w:t xml:space="preserve">.</w:t>
      </w:r>
    </w:p>
    <w:bookmarkEnd w:id="629"/>
    <w:bookmarkStart w:id="631" w:name="ref-Kochmanski2019"/>
    <w:p>
      <w:pPr>
        <w:pStyle w:val="Bibliography"/>
      </w:pPr>
      <w:r>
        <w:t xml:space="preserve">Kochmanski, Joseph, Candace Savonen, and Alison I. Bernstein. 2019 10.</w:t>
      </w:r>
      <w:r>
        <w:t xml:space="preserve"> </w:t>
      </w:r>
      <w:hyperlink r:id="rId630">
        <w:r>
          <w:rPr>
            <w:rStyle w:val="Hyperlink"/>
          </w:rPr>
          <w:t xml:space="preserve">https://doi.org/10.3389/fgene.2019.00801</w:t>
        </w:r>
      </w:hyperlink>
      <w:r>
        <w:t xml:space="preserve">.</w:t>
      </w:r>
    </w:p>
    <w:bookmarkEnd w:id="631"/>
    <w:bookmarkStart w:id="632"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530">
        <w:r>
          <w:rPr>
            <w:rStyle w:val="Hyperlink"/>
          </w:rPr>
          <w:t xml:space="preserve">https://www.bioinformatics.babraham.ac.uk/projects/trim_galore/</w:t>
        </w:r>
      </w:hyperlink>
      <w:r>
        <w:t xml:space="preserve">.</w:t>
      </w:r>
    </w:p>
    <w:bookmarkEnd w:id="632"/>
    <w:bookmarkStart w:id="634"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633">
        <w:r>
          <w:rPr>
            <w:rStyle w:val="Hyperlink"/>
          </w:rPr>
          <w:t xml:space="preserve">https://www.nature.com/articles/nmeth.1923</w:t>
        </w:r>
      </w:hyperlink>
      <w:r>
        <w:t xml:space="preserve">.</w:t>
      </w:r>
    </w:p>
    <w:bookmarkEnd w:id="634"/>
    <w:bookmarkStart w:id="636"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635">
        <w:r>
          <w:rPr>
            <w:rStyle w:val="Hyperlink"/>
          </w:rPr>
          <w:t xml:space="preserve">https://academic.oup.com/bioinformatics/article/27/11/1571/216956</w:t>
        </w:r>
      </w:hyperlink>
      <w:r>
        <w:t xml:space="preserve">.</w:t>
      </w:r>
    </w:p>
    <w:bookmarkEnd w:id="636"/>
    <w:bookmarkStart w:id="637"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6">
        <w:r>
          <w:rPr>
            <w:rStyle w:val="Hyperlink"/>
          </w:rPr>
          <w:t xml:space="preserve">https://doi.org/10.15252/msb.20188746</w:t>
        </w:r>
      </w:hyperlink>
      <w:r>
        <w:t xml:space="preserve">.</w:t>
      </w:r>
    </w:p>
    <w:bookmarkEnd w:id="637"/>
    <w:bookmarkStart w:id="63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38">
        <w:r>
          <w:rPr>
            <w:rStyle w:val="Hyperlink"/>
          </w:rPr>
          <w:t xml:space="preserve">https://doi.org/10.12659/MSMBR.892101</w:t>
        </w:r>
      </w:hyperlink>
      <w:r>
        <w:t xml:space="preserve">.</w:t>
      </w:r>
    </w:p>
    <w:bookmarkEnd w:id="639"/>
    <w:bookmarkStart w:id="64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640">
        <w:r>
          <w:rPr>
            <w:rStyle w:val="Hyperlink"/>
          </w:rPr>
          <w:t xml:space="preserve">https://pubmed.ncbi.nlm.nih.gov/30954475/</w:t>
        </w:r>
      </w:hyperlink>
      <w:r>
        <w:t xml:space="preserve">.</w:t>
      </w:r>
    </w:p>
    <w:bookmarkEnd w:id="641"/>
    <w:bookmarkStart w:id="643"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42">
        <w:r>
          <w:rPr>
            <w:rStyle w:val="Hyperlink"/>
          </w:rPr>
          <w:t xml:space="preserve">https://doi.org/10.1016/j.ygeno.2018.05.004</w:t>
        </w:r>
      </w:hyperlink>
      <w:r>
        <w:t xml:space="preserve">.</w:t>
      </w:r>
    </w:p>
    <w:bookmarkEnd w:id="643"/>
    <w:bookmarkStart w:id="645"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644">
        <w:r>
          <w:rPr>
            <w:rStyle w:val="Hyperlink"/>
          </w:rPr>
          <w:t xml:space="preserve">https://pubmed.ncbi.nlm.nih.gov/28263959/</w:t>
        </w:r>
      </w:hyperlink>
      <w:r>
        <w:t xml:space="preserve">.</w:t>
      </w:r>
    </w:p>
    <w:bookmarkEnd w:id="645"/>
    <w:bookmarkStart w:id="646"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646"/>
    <w:bookmarkStart w:id="648"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647">
        <w:r>
          <w:rPr>
            <w:rStyle w:val="Hyperlink"/>
          </w:rPr>
          <w:t xml:space="preserve">https://www.nature.com/articles/nmeth.4401</w:t>
        </w:r>
      </w:hyperlink>
      <w:r>
        <w:t xml:space="preserve">.</w:t>
      </w:r>
    </w:p>
    <w:bookmarkEnd w:id="648"/>
    <w:bookmarkStart w:id="650"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49">
        <w:r>
          <w:rPr>
            <w:rStyle w:val="Hyperlink"/>
          </w:rPr>
          <w:t xml:space="preserve">https://doi.org/10.1038/nrg3642</w:t>
        </w:r>
      </w:hyperlink>
      <w:r>
        <w:t xml:space="preserve">.</w:t>
      </w:r>
    </w:p>
    <w:bookmarkEnd w:id="650"/>
    <w:bookmarkStart w:id="65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9">
        <w:r>
          <w:rPr>
            <w:rStyle w:val="Hyperlink"/>
          </w:rPr>
          <w:t xml:space="preserve">https://cgatoxford.wordpress.com/2015/08/14/unique-molecular-identifiers-the-problem-the-solution-and-the-proof/</w:t>
        </w:r>
      </w:hyperlink>
      <w:r>
        <w:t xml:space="preserve">.</w:t>
      </w:r>
    </w:p>
    <w:bookmarkEnd w:id="651"/>
    <w:bookmarkStart w:id="653"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52">
        <w:r>
          <w:rPr>
            <w:rStyle w:val="Hyperlink"/>
          </w:rPr>
          <w:t xml:space="preserve">https://doi.org/10.1016/j.ajog.2006.07.001</w:t>
        </w:r>
      </w:hyperlink>
      <w:r>
        <w:t xml:space="preserve">.</w:t>
      </w:r>
    </w:p>
    <w:bookmarkEnd w:id="653"/>
    <w:bookmarkStart w:id="65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654">
        <w:r>
          <w:rPr>
            <w:rStyle w:val="Hyperlink"/>
          </w:rPr>
          <w:t xml:space="preserve">https://pubmed.ncbi.nlm.nih.gov/30954476/</w:t>
        </w:r>
      </w:hyperlink>
      <w:r>
        <w:t xml:space="preserve">.</w:t>
      </w:r>
    </w:p>
    <w:bookmarkEnd w:id="655"/>
    <w:bookmarkStart w:id="657"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56">
        <w:r>
          <w:rPr>
            <w:rStyle w:val="Hyperlink"/>
          </w:rPr>
          <w:t xml:space="preserve">https://doi.org/10.1038/nprot.2012.137</w:t>
        </w:r>
      </w:hyperlink>
      <w:r>
        <w:t xml:space="preserve">.</w:t>
      </w:r>
    </w:p>
    <w:bookmarkEnd w:id="657"/>
    <w:bookmarkStart w:id="659"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58">
        <w:r>
          <w:rPr>
            <w:rStyle w:val="Hyperlink"/>
          </w:rPr>
          <w:t xml:space="preserve">https://doi.org/10.1186/s13059-015-0694-1</w:t>
        </w:r>
      </w:hyperlink>
      <w:r>
        <w:t xml:space="preserve">.</w:t>
      </w:r>
    </w:p>
    <w:bookmarkEnd w:id="659"/>
    <w:bookmarkStart w:id="661"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660">
        <w:r>
          <w:rPr>
            <w:rStyle w:val="Hyperlink"/>
          </w:rPr>
          <w:t xml:space="preserve">https://genomebiology.biomedcentral.com/articles/10.1186/gb-2008-9-9-r137</w:t>
        </w:r>
      </w:hyperlink>
      <w:r>
        <w:t xml:space="preserve">.</w:t>
      </w:r>
    </w:p>
    <w:bookmarkEnd w:id="661"/>
    <w:bookmarkStart w:id="663"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662">
        <w:r>
          <w:rPr>
            <w:rStyle w:val="Hyperlink"/>
          </w:rPr>
          <w:t xml:space="preserve">https://www.nature.com/articles/ncomms14049</w:t>
        </w:r>
      </w:hyperlink>
      <w:r>
        <w:t xml:space="preserve">.</w:t>
      </w:r>
    </w:p>
    <w:bookmarkEnd w:id="663"/>
    <w:bookmarkStart w:id="665"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64">
        <w:r>
          <w:rPr>
            <w:rStyle w:val="Hyperlink"/>
          </w:rPr>
          <w:t xml:space="preserve">https://doi.org/10.1186/s13059-016-1044-7</w:t>
        </w:r>
      </w:hyperlink>
      <w:r>
        <w:t xml:space="preserve">.</w:t>
      </w:r>
    </w:p>
    <w:bookmarkEnd w:id="665"/>
    <w:bookmarkEnd w:id="666"/>
    <w:bookmarkEnd w:id="6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5" Target="https://academic.oup.com/bioinformatics/article/27/11/1571/216956" TargetMode="External" /><Relationship Type="http://schemas.openxmlformats.org/officeDocument/2006/relationships/hyperlink" Id="rId617"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5"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3"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2" Target="https://doi.org/10.1016/j.ajog.2006.07.001" TargetMode="External" /><Relationship Type="http://schemas.openxmlformats.org/officeDocument/2006/relationships/hyperlink" Id="rId598" Target="https://doi.org/10.1016/j.coisb.2017.07.004" TargetMode="External" /><Relationship Type="http://schemas.openxmlformats.org/officeDocument/2006/relationships/hyperlink" Id="rId603"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2" Target="https://doi.org/10.1016/j.ygeno.2018.05.004" TargetMode="External" /><Relationship Type="http://schemas.openxmlformats.org/officeDocument/2006/relationships/hyperlink" Id="rId601" Target="https://doi.org/10.1038/nature07517" TargetMode="External" /><Relationship Type="http://schemas.openxmlformats.org/officeDocument/2006/relationships/hyperlink" Id="rId611" Target="https://doi.org/10.1038/nbt.1975" TargetMode="External" /><Relationship Type="http://schemas.openxmlformats.org/officeDocument/2006/relationships/hyperlink" Id="rId656" Target="https://doi.org/10.1038/nprot.2012.137" TargetMode="External" /><Relationship Type="http://schemas.openxmlformats.org/officeDocument/2006/relationships/hyperlink" Id="rId605" Target="https://doi.org/10.1038/nprot.2013.115" TargetMode="External" /><Relationship Type="http://schemas.openxmlformats.org/officeDocument/2006/relationships/hyperlink" Id="rId649"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26"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2" Target="https://doi.org/10.1093/bib/bbaa083" TargetMode="External" /><Relationship Type="http://schemas.openxmlformats.org/officeDocument/2006/relationships/hyperlink" Id="rId609" Target="https://doi.org/10.1101/2021.02.15.430948" TargetMode="External" /><Relationship Type="http://schemas.openxmlformats.org/officeDocument/2006/relationships/hyperlink" Id="rId658" Target="https://doi.org/10.1186/s13059-015-0694-1" TargetMode="External" /><Relationship Type="http://schemas.openxmlformats.org/officeDocument/2006/relationships/hyperlink" Id="rId613" Target="https://doi.org/10.1186/s13059-016-0881-8" TargetMode="External" /><Relationship Type="http://schemas.openxmlformats.org/officeDocument/2006/relationships/hyperlink" Id="rId664" Target="https://doi.org/10.1186/s13059-016-1044-7" TargetMode="External" /><Relationship Type="http://schemas.openxmlformats.org/officeDocument/2006/relationships/hyperlink" Id="rId638"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0" Target="https://doi.org/10.3389/fgene.2019.00801" TargetMode="External" /><Relationship Type="http://schemas.openxmlformats.org/officeDocument/2006/relationships/hyperlink" Id="rId58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0" Target="https://genomebiology.biomedcentral.com/articles/10.1186/gb-2008-9-9-r137" TargetMode="External" /><Relationship Type="http://schemas.openxmlformats.org/officeDocument/2006/relationships/hyperlink" Id="rId591"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3"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88"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9"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6"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7" Target="https://publichealth.jhu.edu/faculty/4130/ira-gooding" TargetMode="External" /><Relationship Type="http://schemas.openxmlformats.org/officeDocument/2006/relationships/hyperlink" Id="rId624" Target="https://pubmed.ncbi.nlm.nih.gov/20513432/" TargetMode="External" /><Relationship Type="http://schemas.openxmlformats.org/officeDocument/2006/relationships/hyperlink" Id="rId619" Target="https://pubmed.ncbi.nlm.nih.gov/26819470/" TargetMode="External" /><Relationship Type="http://schemas.openxmlformats.org/officeDocument/2006/relationships/hyperlink" Id="rId644" Target="https://pubmed.ncbi.nlm.nih.gov/28263959/" TargetMode="External" /><Relationship Type="http://schemas.openxmlformats.org/officeDocument/2006/relationships/hyperlink" Id="rId640" Target="https://pubmed.ncbi.nlm.nih.gov/30954475/" TargetMode="External" /><Relationship Type="http://schemas.openxmlformats.org/officeDocument/2006/relationships/hyperlink" Id="rId654"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4" Target="https://www.linkedin.com/in/claire-mills-dds-50883553" TargetMode="External" /><Relationship Type="http://schemas.openxmlformats.org/officeDocument/2006/relationships/hyperlink" Id="rId607" Target="https://www.nature.com/articles/nbt.3519" TargetMode="External" /><Relationship Type="http://schemas.openxmlformats.org/officeDocument/2006/relationships/hyperlink" Id="rId662" Target="https://www.nature.com/articles/ncomms14049" TargetMode="External" /><Relationship Type="http://schemas.openxmlformats.org/officeDocument/2006/relationships/hyperlink" Id="rId633" Target="https://www.nature.com/articles/nmeth.1923" TargetMode="External" /><Relationship Type="http://schemas.openxmlformats.org/officeDocument/2006/relationships/hyperlink" Id="rId628" Target="https://www.nature.com/articles/nmeth.3317" TargetMode="External" /><Relationship Type="http://schemas.openxmlformats.org/officeDocument/2006/relationships/hyperlink" Id="rId647"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3"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9"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635" Target="https://academic.oup.com/bioinformatics/article/27/11/1571/216956" TargetMode="External" /><Relationship Type="http://schemas.openxmlformats.org/officeDocument/2006/relationships/hyperlink" Id="rId617"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595"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8" Target="https://bioconductor.org/packages/MultiAssayExperiment/" TargetMode="External" /><Relationship Type="http://schemas.openxmlformats.org/officeDocument/2006/relationships/hyperlink" Id="rId552" Target="https://bioconductor.org/packages/SingleCellMultiModal/" TargetMode="External" /><Relationship Type="http://schemas.openxmlformats.org/officeDocument/2006/relationships/hyperlink" Id="rId551" Target="https://bioconductor.org/packages/cBioPortalData/" TargetMode="External" /><Relationship Type="http://schemas.openxmlformats.org/officeDocument/2006/relationships/hyperlink" Id="rId550"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3"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4"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9"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52" Target="https://doi.org/10.1016/j.ajog.2006.07.001" TargetMode="External" /><Relationship Type="http://schemas.openxmlformats.org/officeDocument/2006/relationships/hyperlink" Id="rId598" Target="https://doi.org/10.1016/j.coisb.2017.07.004" TargetMode="External" /><Relationship Type="http://schemas.openxmlformats.org/officeDocument/2006/relationships/hyperlink" Id="rId603"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3" Target="https://doi.org/10.1016/j.softx.2022.101072" TargetMode="External" /><Relationship Type="http://schemas.openxmlformats.org/officeDocument/2006/relationships/hyperlink" Id="rId642" Target="https://doi.org/10.1016/j.ygeno.2018.05.004" TargetMode="External" /><Relationship Type="http://schemas.openxmlformats.org/officeDocument/2006/relationships/hyperlink" Id="rId601" Target="https://doi.org/10.1038/nature07517" TargetMode="External" /><Relationship Type="http://schemas.openxmlformats.org/officeDocument/2006/relationships/hyperlink" Id="rId611" Target="https://doi.org/10.1038/nbt.1975" TargetMode="External" /><Relationship Type="http://schemas.openxmlformats.org/officeDocument/2006/relationships/hyperlink" Id="rId656" Target="https://doi.org/10.1038/nprot.2012.137" TargetMode="External" /><Relationship Type="http://schemas.openxmlformats.org/officeDocument/2006/relationships/hyperlink" Id="rId605" Target="https://doi.org/10.1038/nprot.2013.115" TargetMode="External" /><Relationship Type="http://schemas.openxmlformats.org/officeDocument/2006/relationships/hyperlink" Id="rId649"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26"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22" Target="https://doi.org/10.1093/bib/bbaa083" TargetMode="External" /><Relationship Type="http://schemas.openxmlformats.org/officeDocument/2006/relationships/hyperlink" Id="rId609" Target="https://doi.org/10.1101/2021.02.15.430948" TargetMode="External" /><Relationship Type="http://schemas.openxmlformats.org/officeDocument/2006/relationships/hyperlink" Id="rId658" Target="https://doi.org/10.1186/s13059-015-0694-1" TargetMode="External" /><Relationship Type="http://schemas.openxmlformats.org/officeDocument/2006/relationships/hyperlink" Id="rId613" Target="https://doi.org/10.1186/s13059-016-0881-8" TargetMode="External" /><Relationship Type="http://schemas.openxmlformats.org/officeDocument/2006/relationships/hyperlink" Id="rId664" Target="https://doi.org/10.1186/s13059-016-1044-7" TargetMode="External" /><Relationship Type="http://schemas.openxmlformats.org/officeDocument/2006/relationships/hyperlink" Id="rId638"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30" Target="https://doi.org/10.3389/fgene.2019.00801" TargetMode="External" /><Relationship Type="http://schemas.openxmlformats.org/officeDocument/2006/relationships/hyperlink" Id="rId585"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1"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660" Target="https://genomebiology.biomedcentral.com/articles/10.1186/gb-2008-9-9-r137" TargetMode="External" /><Relationship Type="http://schemas.openxmlformats.org/officeDocument/2006/relationships/hyperlink" Id="rId591" Target="https://genomebiology.biomedcentral.com/articles/10.1186/gb-2012-13-10-r87"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9"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3"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3"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5"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1" Target="https://github.com/jhudsl/OTTR_Template/wiki/How-to-give-credits" TargetMode="External" /><Relationship Type="http://schemas.openxmlformats.org/officeDocument/2006/relationships/hyperlink" Id="rId588"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2"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3"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4"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5" Target="https://igv.org" TargetMode="External" /><Relationship Type="http://schemas.openxmlformats.org/officeDocument/2006/relationships/hyperlink" Id="rId566" Target="https://igv.org/app" TargetMode="External" /><Relationship Type="http://schemas.openxmlformats.org/officeDocument/2006/relationships/hyperlink" Id="rId498"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9"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6"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1"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7" Target="https://publichealth.jhu.edu/faculty/4130/ira-gooding" TargetMode="External" /><Relationship Type="http://schemas.openxmlformats.org/officeDocument/2006/relationships/hyperlink" Id="rId624" Target="https://pubmed.ncbi.nlm.nih.gov/20513432/" TargetMode="External" /><Relationship Type="http://schemas.openxmlformats.org/officeDocument/2006/relationships/hyperlink" Id="rId619" Target="https://pubmed.ncbi.nlm.nih.gov/26819470/" TargetMode="External" /><Relationship Type="http://schemas.openxmlformats.org/officeDocument/2006/relationships/hyperlink" Id="rId644" Target="https://pubmed.ncbi.nlm.nih.gov/28263959/" TargetMode="External" /><Relationship Type="http://schemas.openxmlformats.org/officeDocument/2006/relationships/hyperlink" Id="rId640" Target="https://pubmed.ncbi.nlm.nih.gov/30954475/" TargetMode="External" /><Relationship Type="http://schemas.openxmlformats.org/officeDocument/2006/relationships/hyperlink" Id="rId654" Target="https://pubmed.ncbi.nlm.nih.gov/30954476/"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1"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70"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7" Target="https://training.galaxyproject.org/training-material/topics/epigenetics/tutorials/atac-seq/slides.html#1" TargetMode="External" /><Relationship Type="http://schemas.openxmlformats.org/officeDocument/2006/relationships/hyperlink" Id="rId490" Target="https://training.galaxyproject.org/training-material/topics/epigenetics/tutorials/atac-seq/tutorial.html" TargetMode="External" /><Relationship Type="http://schemas.openxmlformats.org/officeDocument/2006/relationships/hyperlink" Id="rId542"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6"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9" Target="https://www.bioconductor.org/packages/release/bioc/html/limma.html" TargetMode="External" /><Relationship Type="http://schemas.openxmlformats.org/officeDocument/2006/relationships/hyperlink" Id="rId537" Target="https://www.bioconductor.org/packages/release/bioc/html/methylKit.html" TargetMode="External" /><Relationship Type="http://schemas.openxmlformats.org/officeDocument/2006/relationships/hyperlink" Id="rId532"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30"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2"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4" Target="https://www.linkedin.com/in/claire-mills-dds-50883553" TargetMode="External" /><Relationship Type="http://schemas.openxmlformats.org/officeDocument/2006/relationships/hyperlink" Id="rId607" Target="https://www.nature.com/articles/nbt.3519" TargetMode="External" /><Relationship Type="http://schemas.openxmlformats.org/officeDocument/2006/relationships/hyperlink" Id="rId662" Target="https://www.nature.com/articles/ncomms14049" TargetMode="External" /><Relationship Type="http://schemas.openxmlformats.org/officeDocument/2006/relationships/hyperlink" Id="rId633" Target="https://www.nature.com/articles/nmeth.1923" TargetMode="External" /><Relationship Type="http://schemas.openxmlformats.org/officeDocument/2006/relationships/hyperlink" Id="rId628" Target="https://www.nature.com/articles/nmeth.3317" TargetMode="External" /><Relationship Type="http://schemas.openxmlformats.org/officeDocument/2006/relationships/hyperlink" Id="rId647" Target="https://www.nature.com/articles/nmeth.4401" TargetMode="External" /><Relationship Type="http://schemas.openxmlformats.org/officeDocument/2006/relationships/hyperlink" Id="rId577"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2"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00"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3"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61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6"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2023-05-24T19:09:48Z</dcterms:created>
  <dcterms:modified xsi:type="dcterms:W3CDTF">2023-05-24T19:09:48Z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